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815" w:rsidRDefault="005A2C89" w:rsidP="005A4815">
      <w:pPr>
        <w:pStyle w:val="TLTBodyText"/>
        <w:jc w:val="center"/>
        <w:rPr>
          <w:b/>
        </w:rPr>
      </w:pPr>
      <w:bookmarkStart w:id="0" w:name="_GoBack"/>
      <w:bookmarkEnd w:id="0"/>
      <w:r>
        <w:rPr>
          <w:b/>
        </w:rPr>
        <w:t>Schedule K</w:t>
      </w:r>
      <w:r w:rsidR="005A4815">
        <w:rPr>
          <w:b/>
        </w:rPr>
        <w:t xml:space="preserve"> (Lot 2/3)</w:t>
      </w:r>
    </w:p>
    <w:p w:rsidR="005A4815" w:rsidRDefault="005A4815" w:rsidP="005A4815">
      <w:pPr>
        <w:pStyle w:val="TLTBodyText"/>
        <w:jc w:val="center"/>
        <w:rPr>
          <w:b/>
        </w:rPr>
      </w:pPr>
      <w:r>
        <w:rPr>
          <w:b/>
        </w:rPr>
        <w:t>TUPE Surcharge</w:t>
      </w:r>
    </w:p>
    <w:p w:rsidR="005A4815" w:rsidRPr="007E0B6A" w:rsidRDefault="005A4815" w:rsidP="005A4815">
      <w:pPr>
        <w:pStyle w:val="TLTLevel1"/>
        <w:numPr>
          <w:ilvl w:val="0"/>
          <w:numId w:val="19"/>
        </w:numPr>
        <w:rPr>
          <w:b/>
        </w:rPr>
      </w:pPr>
      <w:r w:rsidRPr="007E0B6A">
        <w:rPr>
          <w:b/>
        </w:rPr>
        <w:t>Introduction</w:t>
      </w:r>
    </w:p>
    <w:p w:rsidR="005A4815" w:rsidRPr="00D66AF0" w:rsidRDefault="005A4815" w:rsidP="005A4815">
      <w:pPr>
        <w:pStyle w:val="TLTLevel2"/>
        <w:numPr>
          <w:ilvl w:val="1"/>
          <w:numId w:val="19"/>
        </w:numPr>
      </w:pPr>
      <w:r w:rsidRPr="00262D69">
        <w:t>This schedule sets out the process for determining the:</w:t>
      </w:r>
    </w:p>
    <w:p w:rsidR="005A4815" w:rsidRPr="00262D69" w:rsidRDefault="005A4815" w:rsidP="005A4815">
      <w:pPr>
        <w:pStyle w:val="TLTLevel3"/>
        <w:numPr>
          <w:ilvl w:val="2"/>
          <w:numId w:val="19"/>
        </w:numPr>
        <w:rPr>
          <w:b/>
        </w:rPr>
      </w:pPr>
      <w:r>
        <w:t xml:space="preserve">TUPE Surcharge, if a Relevant Transfer takes place; and </w:t>
      </w:r>
    </w:p>
    <w:p w:rsidR="005A4815" w:rsidRPr="00723514" w:rsidRDefault="005A4815" w:rsidP="005A4815">
      <w:pPr>
        <w:pStyle w:val="TLTLevel3"/>
        <w:numPr>
          <w:ilvl w:val="2"/>
          <w:numId w:val="19"/>
        </w:numPr>
        <w:rPr>
          <w:b/>
        </w:rPr>
      </w:pPr>
      <w:bookmarkStart w:id="1" w:name="_Ref485737482"/>
      <w:r>
        <w:t xml:space="preserve">Redundancy Surcharge in the event that, following a Relevant Transfer, a Transferring Former Contractor Employee and/or a Transferring </w:t>
      </w:r>
      <w:r w:rsidR="00A00CE2" w:rsidRPr="00A00CE2">
        <w:t xml:space="preserve">Client </w:t>
      </w:r>
      <w:r>
        <w:t xml:space="preserve">Employee is made redundant by the </w:t>
      </w:r>
      <w:r w:rsidRPr="00D3025F">
        <w:rPr>
          <w:i/>
        </w:rPr>
        <w:t>Contractor</w:t>
      </w:r>
      <w:r>
        <w:t xml:space="preserve"> as a result of an economic technical organisational reason entailing changes to the workforce and the </w:t>
      </w:r>
      <w:r w:rsidRPr="00262D69">
        <w:rPr>
          <w:i/>
        </w:rPr>
        <w:t>Contractor</w:t>
      </w:r>
      <w:r>
        <w:t xml:space="preserve"> has followed a fair dismissal procedure and complied with all contractual and legislative requirements</w:t>
      </w:r>
      <w:r w:rsidRPr="00723514">
        <w:t>.</w:t>
      </w:r>
      <w:bookmarkEnd w:id="1"/>
    </w:p>
    <w:p w:rsidR="005A4815" w:rsidRPr="00BA264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>The “TUPE Surcharge” means</w:t>
      </w:r>
      <w:r>
        <w:t>:</w:t>
      </w:r>
    </w:p>
    <w:p w:rsidR="005A4815" w:rsidRPr="00723514" w:rsidRDefault="005A4815" w:rsidP="005A4815">
      <w:pPr>
        <w:pStyle w:val="TLTLevel3"/>
        <w:numPr>
          <w:ilvl w:val="2"/>
          <w:numId w:val="19"/>
        </w:numPr>
        <w:rPr>
          <w:b/>
        </w:rPr>
      </w:pPr>
      <w:r w:rsidRPr="00723514">
        <w:t>the difference, on an annual basis, between:</w:t>
      </w:r>
    </w:p>
    <w:p w:rsidR="005A4815" w:rsidRPr="00723514" w:rsidRDefault="005A4815" w:rsidP="005A4815">
      <w:pPr>
        <w:pStyle w:val="TLTLevel4"/>
        <w:numPr>
          <w:ilvl w:val="3"/>
          <w:numId w:val="19"/>
        </w:numPr>
        <w:rPr>
          <w:b/>
        </w:rPr>
      </w:pPr>
      <w:r w:rsidRPr="00723514">
        <w:t xml:space="preserve">the costs to employ Transferring </w:t>
      </w:r>
      <w:r>
        <w:t xml:space="preserve">Former </w:t>
      </w:r>
      <w:r w:rsidRPr="00723514">
        <w:t xml:space="preserve">Contractor Employees and/or Transferring </w:t>
      </w:r>
      <w:r w:rsidR="00A00CE2" w:rsidRPr="00A00CE2">
        <w:t xml:space="preserve">Client </w:t>
      </w:r>
      <w:r w:rsidRPr="00723514">
        <w:t>Employees (as the case may be); and</w:t>
      </w:r>
    </w:p>
    <w:p w:rsidR="005A4815" w:rsidRPr="00723514" w:rsidRDefault="005A4815" w:rsidP="005A4815">
      <w:pPr>
        <w:pStyle w:val="TLTLevel4"/>
        <w:numPr>
          <w:ilvl w:val="3"/>
          <w:numId w:val="19"/>
        </w:numPr>
        <w:rPr>
          <w:b/>
        </w:rPr>
      </w:pPr>
      <w:r>
        <w:t>t</w:t>
      </w:r>
      <w:r w:rsidRPr="00723514">
        <w:t xml:space="preserve">he equivalent costs to employ staff used by the </w:t>
      </w:r>
      <w:r w:rsidRPr="003A20F7">
        <w:rPr>
          <w:i/>
        </w:rPr>
        <w:t>Contractor</w:t>
      </w:r>
      <w:r w:rsidRPr="00723514">
        <w:t xml:space="preserve"> to calculate the Prices,</w:t>
      </w:r>
    </w:p>
    <w:p w:rsidR="005A4815" w:rsidRPr="003A20F7" w:rsidRDefault="005A4815" w:rsidP="005A4815">
      <w:pPr>
        <w:pStyle w:val="Heading5"/>
        <w:numPr>
          <w:ilvl w:val="0"/>
          <w:numId w:val="0"/>
        </w:numPr>
        <w:ind w:left="1080" w:firstLine="720"/>
        <w:rPr>
          <w:b/>
          <w:sz w:val="20"/>
        </w:rPr>
      </w:pPr>
      <w:r w:rsidRPr="003A20F7">
        <w:rPr>
          <w:sz w:val="20"/>
        </w:rPr>
        <w:t>in respect of the following: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annual salary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annual national insurance cost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annual pension cost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holiday entitlement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annual life insurance cost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annual sick pay entitlement</w:t>
      </w:r>
    </w:p>
    <w:p w:rsidR="005A4815" w:rsidRPr="009D735E" w:rsidRDefault="005A4815" w:rsidP="005A4815">
      <w:pPr>
        <w:pStyle w:val="TLTLevel5"/>
        <w:numPr>
          <w:ilvl w:val="4"/>
          <w:numId w:val="19"/>
        </w:numPr>
        <w:rPr>
          <w:b/>
        </w:rPr>
      </w:pPr>
      <w:r w:rsidRPr="00723514">
        <w:t>maternity/paternity costs</w:t>
      </w:r>
    </w:p>
    <w:p w:rsidR="005A4815" w:rsidRPr="00723514" w:rsidRDefault="005A4815" w:rsidP="005A4815">
      <w:pPr>
        <w:pStyle w:val="TLTLevel5"/>
        <w:numPr>
          <w:ilvl w:val="4"/>
          <w:numId w:val="19"/>
        </w:numPr>
        <w:rPr>
          <w:b/>
        </w:rPr>
      </w:pPr>
      <w:r>
        <w:t xml:space="preserve">any other cost arising directly from the contract of employment of the Transferring Former Contractor Employee and or Transferring </w:t>
      </w:r>
      <w:r w:rsidR="00A00CE2" w:rsidRPr="00A00CE2">
        <w:t xml:space="preserve">Client </w:t>
      </w:r>
      <w:r>
        <w:t>Employee for which there is an equivalent cost applicable to the employed staff used by the Contractor at Further Competition to calculate the Prices.</w:t>
      </w:r>
      <w:r w:rsidRPr="00723514">
        <w:rPr>
          <w:b/>
        </w:rPr>
        <w:t xml:space="preserve">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</w:pPr>
      <w:r w:rsidRPr="00723514">
        <w:t>The “</w:t>
      </w:r>
      <w:r>
        <w:t>Redundancy</w:t>
      </w:r>
      <w:r w:rsidRPr="00723514">
        <w:t xml:space="preserve"> Surcharge” means</w:t>
      </w:r>
      <w:r>
        <w:t xml:space="preserve">, in relation to a redundancy as described in paragraph </w:t>
      </w:r>
      <w:r>
        <w:fldChar w:fldCharType="begin"/>
      </w:r>
      <w:r>
        <w:instrText xml:space="preserve"> REF _Ref485737482 \r \h </w:instrText>
      </w:r>
      <w:r>
        <w:fldChar w:fldCharType="separate"/>
      </w:r>
      <w:r w:rsidR="005A2C89">
        <w:t>1.1.2</w:t>
      </w:r>
      <w:r>
        <w:fldChar w:fldCharType="end"/>
      </w:r>
      <w:r>
        <w:t xml:space="preserve"> above, the following costs: </w:t>
      </w:r>
      <w:r w:rsidRPr="009D5068">
        <w:t>any tribunal awards, redundancy payments including contractu</w:t>
      </w:r>
      <w:r>
        <w:t>al or enhanced redundancy costs</w:t>
      </w:r>
      <w:r w:rsidRPr="009D5068">
        <w:t xml:space="preserve"> and notice payments.</w:t>
      </w:r>
    </w:p>
    <w:p w:rsidR="005A4815" w:rsidRPr="003A20F7" w:rsidRDefault="005A4815" w:rsidP="005A4815">
      <w:pPr>
        <w:pStyle w:val="TLTLevel1"/>
        <w:numPr>
          <w:ilvl w:val="0"/>
          <w:numId w:val="19"/>
        </w:numPr>
        <w:rPr>
          <w:b/>
        </w:rPr>
      </w:pPr>
      <w:r w:rsidRPr="003A20F7">
        <w:rPr>
          <w:b/>
        </w:rPr>
        <w:t xml:space="preserve">TUPE Surcharge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</w:pPr>
      <w:r w:rsidRPr="00723514">
        <w:t xml:space="preserve">Where a Relevant Transfer takes place, or will take place, the </w:t>
      </w:r>
      <w:r w:rsidRPr="00723514">
        <w:rPr>
          <w:i/>
        </w:rPr>
        <w:t>Contractor</w:t>
      </w:r>
      <w:r w:rsidRPr="00723514">
        <w:t xml:space="preserve"> shall</w:t>
      </w:r>
      <w:r>
        <w:t xml:space="preserve">, </w:t>
      </w:r>
      <w:r w:rsidRPr="00723514">
        <w:t xml:space="preserve">no later than 30 days </w:t>
      </w:r>
      <w:r>
        <w:t>after</w:t>
      </w:r>
      <w:r w:rsidRPr="00723514">
        <w:t xml:space="preserve"> </w:t>
      </w:r>
      <w:r>
        <w:t>the Relevant Transfer Date</w:t>
      </w:r>
      <w:r w:rsidRPr="00081EE8">
        <w:t>,</w:t>
      </w:r>
      <w:r w:rsidRPr="00723514">
        <w:t xml:space="preserve"> submit to the </w:t>
      </w:r>
      <w:r>
        <w:rPr>
          <w:i/>
        </w:rPr>
        <w:t>Project Manager</w:t>
      </w:r>
      <w:r w:rsidRPr="00723514">
        <w:rPr>
          <w:i/>
        </w:rPr>
        <w:t xml:space="preserve">, </w:t>
      </w:r>
      <w:r w:rsidRPr="00723514">
        <w:t xml:space="preserve">its calculation of the TUPE Surcharge together with a breakdown and supporting evidence as may be reasonably necessary for the </w:t>
      </w:r>
      <w:r>
        <w:rPr>
          <w:i/>
        </w:rPr>
        <w:t>Project Manager</w:t>
      </w:r>
      <w:r w:rsidRPr="00723514">
        <w:t xml:space="preserve"> to corroborate and assess the calculation of the TUPE Surcharge. 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lastRenderedPageBreak/>
        <w:t xml:space="preserve">On receipt of </w:t>
      </w:r>
      <w:r w:rsidRPr="00081EE8">
        <w:t xml:space="preserve">the </w:t>
      </w:r>
      <w:r w:rsidRPr="00081EE8">
        <w:rPr>
          <w:i/>
        </w:rPr>
        <w:t>Contractor</w:t>
      </w:r>
      <w:r w:rsidRPr="00081EE8">
        <w:t>’s calculation</w:t>
      </w:r>
      <w:r w:rsidRPr="00723514">
        <w:t xml:space="preserve"> of the TUPE Surcharge in accordance with paragraph 16.2.1 the </w:t>
      </w:r>
      <w:r>
        <w:rPr>
          <w:i/>
        </w:rPr>
        <w:t>Project Manager</w:t>
      </w:r>
      <w:r w:rsidRPr="00723514">
        <w:rPr>
          <w:i/>
        </w:rPr>
        <w:t xml:space="preserve"> </w:t>
      </w:r>
      <w:r w:rsidRPr="00723514">
        <w:t>shall either: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n</w:t>
      </w:r>
      <w:r w:rsidRPr="00081EE8">
        <w:t xml:space="preserve">otify the </w:t>
      </w:r>
      <w:r w:rsidRPr="00081EE8">
        <w:rPr>
          <w:i/>
        </w:rPr>
        <w:t>Contractor</w:t>
      </w:r>
      <w:r w:rsidRPr="00081EE8">
        <w:t xml:space="preserve"> in writing of acceptance of the TUPE Surcharge re</w:t>
      </w:r>
      <w:r>
        <w:t>lating to the Relevant Transfer;</w:t>
      </w:r>
      <w:r w:rsidRPr="00081EE8">
        <w:t xml:space="preserve"> 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r</w:t>
      </w:r>
      <w:r w:rsidRPr="00081EE8">
        <w:t>equest further information/evidence; and/ or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r</w:t>
      </w:r>
      <w:r w:rsidRPr="00081EE8">
        <w:t>equest a meeting to discuss/clarify the evidence provided</w:t>
      </w:r>
      <w:r>
        <w:t>.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Where the TUPE Surcharge is agreed following the receipt of further information/evidence or following a meeting, the </w:t>
      </w:r>
      <w:r>
        <w:rPr>
          <w:i/>
        </w:rPr>
        <w:t>Project Manager</w:t>
      </w:r>
      <w:r w:rsidRPr="00723514">
        <w:rPr>
          <w:i/>
        </w:rPr>
        <w:t xml:space="preserve"> </w:t>
      </w:r>
      <w:r w:rsidRPr="00723514">
        <w:t xml:space="preserve">shall notify the </w:t>
      </w:r>
      <w:r w:rsidRPr="00723514">
        <w:rPr>
          <w:i/>
        </w:rPr>
        <w:t xml:space="preserve">Contractor </w:t>
      </w:r>
      <w:r w:rsidRPr="00723514">
        <w:t xml:space="preserve">in writing.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>In the event that the</w:t>
      </w:r>
      <w:r w:rsidRPr="00723514">
        <w:rPr>
          <w:i/>
        </w:rPr>
        <w:t xml:space="preserve"> Contractor </w:t>
      </w:r>
      <w:r w:rsidRPr="00723514">
        <w:t xml:space="preserve">and the </w:t>
      </w:r>
      <w:r>
        <w:rPr>
          <w:i/>
        </w:rPr>
        <w:t>Project Manager</w:t>
      </w:r>
      <w:r w:rsidRPr="00723514">
        <w:t xml:space="preserve"> are unable to agree the</w:t>
      </w:r>
      <w:r>
        <w:rPr>
          <w:b/>
          <w:caps/>
        </w:rPr>
        <w:t xml:space="preserve"> </w:t>
      </w:r>
      <w:r w:rsidRPr="00723514">
        <w:t xml:space="preserve">TUPE Surcharge, they shall follow the agreed dispute resolution procedure. </w:t>
      </w:r>
    </w:p>
    <w:p w:rsidR="005A4815" w:rsidRPr="00C50128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>On agreement of the TUPE Surcharge the Prices shall be changed accordingly.</w:t>
      </w:r>
    </w:p>
    <w:p w:rsidR="00FE3503" w:rsidRPr="003A20F7" w:rsidRDefault="00FE3503" w:rsidP="00FE3503">
      <w:pPr>
        <w:pStyle w:val="TLTLevel1"/>
        <w:numPr>
          <w:ilvl w:val="0"/>
          <w:numId w:val="19"/>
        </w:numPr>
        <w:rPr>
          <w:b/>
        </w:rPr>
      </w:pPr>
      <w:r w:rsidRPr="003A20F7">
        <w:rPr>
          <w:b/>
        </w:rPr>
        <w:t>Annual Review of TUPE Surcharge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</w:pPr>
      <w:r w:rsidRPr="00723514">
        <w:t xml:space="preserve">The TUPE Surcharge shall be reviewed by the </w:t>
      </w:r>
      <w:r w:rsidR="00A00CE2">
        <w:rPr>
          <w:i/>
        </w:rPr>
        <w:t>Project</w:t>
      </w:r>
      <w:r>
        <w:rPr>
          <w:i/>
        </w:rPr>
        <w:t xml:space="preserve"> Manager</w:t>
      </w:r>
      <w:r w:rsidRPr="00723514">
        <w:rPr>
          <w:i/>
        </w:rPr>
        <w:t xml:space="preserve"> </w:t>
      </w:r>
      <w:r w:rsidRPr="00723514">
        <w:t xml:space="preserve">at the commencement of each Contract Year. 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</w:pPr>
      <w:bookmarkStart w:id="2" w:name="_Ref485737794"/>
      <w:r w:rsidRPr="00723514">
        <w:t>The</w:t>
      </w:r>
      <w:r w:rsidRPr="00723514">
        <w:rPr>
          <w:i/>
        </w:rPr>
        <w:t xml:space="preserve"> Contractor</w:t>
      </w:r>
      <w:r w:rsidRPr="00723514">
        <w:t xml:space="preserve"> shall submit to the </w:t>
      </w:r>
      <w:r w:rsidR="00A00CE2">
        <w:rPr>
          <w:i/>
        </w:rPr>
        <w:t xml:space="preserve">Project </w:t>
      </w:r>
      <w:r>
        <w:rPr>
          <w:i/>
        </w:rPr>
        <w:t>Manager</w:t>
      </w:r>
      <w:r w:rsidRPr="00723514">
        <w:rPr>
          <w:i/>
        </w:rPr>
        <w:t xml:space="preserve">, </w:t>
      </w:r>
      <w:r w:rsidRPr="00723514">
        <w:t>no later than 30 days prior to Contract Year, evidence of any change to the TUPE Surcharge since it was last adjusted</w:t>
      </w:r>
      <w:r>
        <w:t xml:space="preserve"> including but not limited to whether or not a Transferring Former Contractor Employee and/or a Transferring </w:t>
      </w:r>
      <w:r w:rsidR="00A00CE2">
        <w:t>Client</w:t>
      </w:r>
      <w:r>
        <w:t xml:space="preserve"> Employee is still employed by the </w:t>
      </w:r>
      <w:r>
        <w:rPr>
          <w:i/>
        </w:rPr>
        <w:t xml:space="preserve">Contractor </w:t>
      </w:r>
      <w:r>
        <w:t>and/or engaged on this contract</w:t>
      </w:r>
      <w:r w:rsidRPr="00723514">
        <w:t>.</w:t>
      </w:r>
      <w:r>
        <w:t xml:space="preserve"> The </w:t>
      </w:r>
      <w:r w:rsidR="00A00CE2" w:rsidRPr="00A00CE2">
        <w:rPr>
          <w:i/>
        </w:rPr>
        <w:t xml:space="preserve">Client </w:t>
      </w:r>
      <w:r>
        <w:t xml:space="preserve">shall cease to be liable to pay the TUPE Surcharge in respect of a particular Transferring Former Contractor Employee or a Transferring </w:t>
      </w:r>
      <w:r w:rsidR="00A00CE2" w:rsidRPr="00A00CE2">
        <w:t xml:space="preserve">Client </w:t>
      </w:r>
      <w:r>
        <w:t xml:space="preserve">Employee from the date upon which he ceases to be employed by the </w:t>
      </w:r>
      <w:r>
        <w:rPr>
          <w:i/>
        </w:rPr>
        <w:t xml:space="preserve">Contractor </w:t>
      </w:r>
      <w:r>
        <w:t>or engaged on this contract (whichever occurs the earliest).</w:t>
      </w:r>
      <w:bookmarkEnd w:id="2"/>
    </w:p>
    <w:p w:rsidR="00FE3503" w:rsidRPr="00723514" w:rsidRDefault="00FE3503" w:rsidP="00FE3503">
      <w:pPr>
        <w:pStyle w:val="TLTLevel2"/>
        <w:numPr>
          <w:ilvl w:val="1"/>
          <w:numId w:val="19"/>
        </w:numPr>
      </w:pPr>
      <w:r>
        <w:t xml:space="preserve">On receipt of </w:t>
      </w:r>
      <w:r w:rsidRPr="00723514">
        <w:t xml:space="preserve">the </w:t>
      </w:r>
      <w:r w:rsidRPr="00723514">
        <w:rPr>
          <w:i/>
        </w:rPr>
        <w:t>Contractor</w:t>
      </w:r>
      <w:r w:rsidRPr="00723514">
        <w:t xml:space="preserve">’s calculation of the TUPE Surcharge in accordance with paragraph </w:t>
      </w:r>
      <w:r>
        <w:fldChar w:fldCharType="begin"/>
      </w:r>
      <w:r>
        <w:instrText xml:space="preserve"> REF _Ref485737794 \r \h </w:instrText>
      </w:r>
      <w:r>
        <w:fldChar w:fldCharType="separate"/>
      </w:r>
      <w:r w:rsidR="005A2C89">
        <w:t>3.2</w:t>
      </w:r>
      <w:r>
        <w:fldChar w:fldCharType="end"/>
      </w:r>
      <w:r>
        <w:t xml:space="preserve"> </w:t>
      </w:r>
      <w:r w:rsidRPr="00723514">
        <w:t xml:space="preserve">the </w:t>
      </w:r>
      <w:r w:rsidR="00A00CE2">
        <w:rPr>
          <w:i/>
        </w:rPr>
        <w:t xml:space="preserve">Project </w:t>
      </w:r>
      <w:r>
        <w:rPr>
          <w:i/>
        </w:rPr>
        <w:t>Manager</w:t>
      </w:r>
      <w:r w:rsidRPr="00723514">
        <w:rPr>
          <w:i/>
        </w:rPr>
        <w:t xml:space="preserve"> </w:t>
      </w:r>
      <w:r w:rsidRPr="00723514">
        <w:t>shall either:</w:t>
      </w:r>
    </w:p>
    <w:p w:rsidR="00FE3503" w:rsidRPr="00723514" w:rsidRDefault="00FE3503" w:rsidP="00FE3503">
      <w:pPr>
        <w:pStyle w:val="TLTLevel3"/>
        <w:numPr>
          <w:ilvl w:val="2"/>
          <w:numId w:val="19"/>
        </w:numPr>
        <w:rPr>
          <w:b/>
        </w:rPr>
      </w:pPr>
      <w:r>
        <w:t>n</w:t>
      </w:r>
      <w:r w:rsidRPr="00723514">
        <w:t xml:space="preserve">otify the </w:t>
      </w:r>
      <w:r w:rsidRPr="003A20F7">
        <w:rPr>
          <w:i/>
        </w:rPr>
        <w:t>Contractor</w:t>
      </w:r>
      <w:r w:rsidRPr="00723514">
        <w:t xml:space="preserve"> in writing of acceptance of the adjusted TUPE Surcharge; or </w:t>
      </w:r>
    </w:p>
    <w:p w:rsidR="00FE3503" w:rsidRPr="00723514" w:rsidRDefault="00FE3503" w:rsidP="00FE3503">
      <w:pPr>
        <w:pStyle w:val="TLTLevel3"/>
        <w:numPr>
          <w:ilvl w:val="2"/>
          <w:numId w:val="19"/>
        </w:numPr>
        <w:rPr>
          <w:b/>
        </w:rPr>
      </w:pPr>
      <w:r>
        <w:t>r</w:t>
      </w:r>
      <w:r w:rsidRPr="00723514">
        <w:t>equest further information/evidence; and/ or</w:t>
      </w:r>
    </w:p>
    <w:p w:rsidR="00FE3503" w:rsidRPr="00723514" w:rsidRDefault="00FE3503" w:rsidP="00FE3503">
      <w:pPr>
        <w:pStyle w:val="TLTLevel3"/>
        <w:numPr>
          <w:ilvl w:val="2"/>
          <w:numId w:val="19"/>
        </w:numPr>
        <w:rPr>
          <w:b/>
        </w:rPr>
      </w:pPr>
      <w:r>
        <w:t>r</w:t>
      </w:r>
      <w:r w:rsidRPr="00723514">
        <w:t>equest a meeting to discuss/clarify the evidence provided</w:t>
      </w:r>
      <w:r>
        <w:t>.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Where the adjustment to the TUPE Surcharge is agreed following the receipt of further information/evidence or following a meeting, the </w:t>
      </w:r>
      <w:r w:rsidR="00A00CE2">
        <w:rPr>
          <w:i/>
        </w:rPr>
        <w:t xml:space="preserve">Project </w:t>
      </w:r>
      <w:r>
        <w:rPr>
          <w:i/>
        </w:rPr>
        <w:t>Manager</w:t>
      </w:r>
      <w:r w:rsidRPr="00723514">
        <w:rPr>
          <w:i/>
        </w:rPr>
        <w:t xml:space="preserve"> </w:t>
      </w:r>
      <w:r w:rsidRPr="00723514">
        <w:t xml:space="preserve">shall notify the </w:t>
      </w:r>
      <w:r w:rsidRPr="00723514">
        <w:rPr>
          <w:i/>
        </w:rPr>
        <w:t xml:space="preserve">Contractor </w:t>
      </w:r>
      <w:r w:rsidRPr="00723514">
        <w:t xml:space="preserve">in writing. </w:t>
      </w:r>
    </w:p>
    <w:p w:rsidR="00FE3503" w:rsidRPr="00C50128" w:rsidRDefault="00FE3503" w:rsidP="00FE3503">
      <w:pPr>
        <w:pStyle w:val="TLTLevel2"/>
        <w:numPr>
          <w:ilvl w:val="1"/>
          <w:numId w:val="19"/>
        </w:numPr>
      </w:pPr>
      <w:r w:rsidRPr="00723514">
        <w:t>In the event that the</w:t>
      </w:r>
      <w:r w:rsidRPr="00723514">
        <w:rPr>
          <w:i/>
        </w:rPr>
        <w:t xml:space="preserve"> Contractor </w:t>
      </w:r>
      <w:r w:rsidRPr="00723514">
        <w:t xml:space="preserve">and the </w:t>
      </w:r>
      <w:r w:rsidR="00A00CE2">
        <w:rPr>
          <w:i/>
        </w:rPr>
        <w:t xml:space="preserve">Project </w:t>
      </w:r>
      <w:r>
        <w:rPr>
          <w:i/>
        </w:rPr>
        <w:t>Manager</w:t>
      </w:r>
      <w:r w:rsidRPr="00723514">
        <w:t xml:space="preserve"> are unable to agree </w:t>
      </w:r>
      <w:r w:rsidRPr="00243F6E">
        <w:t>the adjustment to the TUPE Surcharge,</w:t>
      </w:r>
      <w:r w:rsidRPr="00723514">
        <w:t xml:space="preserve"> they shall follow the agreed dispute resolution procedure.</w:t>
      </w:r>
    </w:p>
    <w:p w:rsidR="00FE3503" w:rsidRPr="003A20F7" w:rsidRDefault="00FE3503" w:rsidP="00FE3503">
      <w:pPr>
        <w:pStyle w:val="TLTLevel1"/>
        <w:numPr>
          <w:ilvl w:val="0"/>
          <w:numId w:val="19"/>
        </w:numPr>
        <w:rPr>
          <w:b/>
        </w:rPr>
      </w:pPr>
      <w:r w:rsidRPr="003A20F7">
        <w:rPr>
          <w:b/>
        </w:rPr>
        <w:t>Adjustment to the TUPE Surcharge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  <w:rPr>
          <w:b/>
        </w:rPr>
      </w:pPr>
      <w:r w:rsidRPr="00723514">
        <w:t>Where the adjusted</w:t>
      </w:r>
      <w:r w:rsidRPr="00723514">
        <w:rPr>
          <w:i/>
        </w:rPr>
        <w:t xml:space="preserve"> </w:t>
      </w:r>
      <w:r>
        <w:t xml:space="preserve">TUPE Surcharge </w:t>
      </w:r>
      <w:r w:rsidRPr="00723514">
        <w:t>is less than the TUPE Surcharge in the previous Contract Year, the Prices shall be adjusted to account for the lower TUPE Surcharge.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  <w:rPr>
          <w:b/>
        </w:rPr>
      </w:pPr>
      <w:r w:rsidRPr="00723514">
        <w:t>The adjusted TUPE Surcharge shall be used as the benchmark in the subsequent annual TUPE costs review.</w:t>
      </w:r>
    </w:p>
    <w:p w:rsidR="00FE3503" w:rsidRDefault="00FE3503" w:rsidP="00FE3503">
      <w:pPr>
        <w:pStyle w:val="TLTLevel2"/>
        <w:numPr>
          <w:ilvl w:val="1"/>
          <w:numId w:val="19"/>
        </w:numPr>
      </w:pPr>
      <w:r w:rsidRPr="00723514">
        <w:t>Where the adjusted TUPE Surcharge is more than the TUPE Surcharge in the previous Contract Year, the Prices shall not be adjusted.</w:t>
      </w:r>
    </w:p>
    <w:p w:rsidR="005A2C89" w:rsidRPr="005A2C89" w:rsidRDefault="005A2C89" w:rsidP="005A2C89">
      <w:pPr>
        <w:pStyle w:val="TLTBodyText2"/>
      </w:pPr>
    </w:p>
    <w:p w:rsidR="00FE3503" w:rsidRPr="003A20F7" w:rsidRDefault="00FE3503" w:rsidP="00FE3503">
      <w:pPr>
        <w:pStyle w:val="TLTLevel1"/>
        <w:numPr>
          <w:ilvl w:val="0"/>
          <w:numId w:val="19"/>
        </w:numPr>
        <w:rPr>
          <w:b/>
        </w:rPr>
      </w:pPr>
      <w:r w:rsidRPr="003A20F7">
        <w:rPr>
          <w:b/>
        </w:rPr>
        <w:lastRenderedPageBreak/>
        <w:t>Right of Audit</w:t>
      </w:r>
    </w:p>
    <w:p w:rsidR="00FE3503" w:rsidRPr="00723514" w:rsidRDefault="00FE3503" w:rsidP="00FE3503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The </w:t>
      </w:r>
      <w:r w:rsidR="00A00CE2" w:rsidRPr="00A00CE2">
        <w:rPr>
          <w:i/>
        </w:rPr>
        <w:t xml:space="preserve">Project </w:t>
      </w:r>
      <w:r>
        <w:rPr>
          <w:i/>
        </w:rPr>
        <w:t>Manager</w:t>
      </w:r>
      <w:r w:rsidRPr="00723514">
        <w:t xml:space="preserve"> </w:t>
      </w:r>
      <w:r>
        <w:t>may</w:t>
      </w:r>
      <w:r w:rsidRPr="00723514">
        <w:t xml:space="preserve"> review and audit the calculation of the TUPE Surcharge at any time and the </w:t>
      </w:r>
      <w:r w:rsidRPr="003A20F7">
        <w:rPr>
          <w:i/>
        </w:rPr>
        <w:t xml:space="preserve">Contractor </w:t>
      </w:r>
      <w:r w:rsidRPr="00723514">
        <w:t xml:space="preserve">shall repay to the </w:t>
      </w:r>
      <w:r w:rsidR="00A00CE2">
        <w:rPr>
          <w:i/>
        </w:rPr>
        <w:t>Client</w:t>
      </w:r>
      <w:r w:rsidRPr="00723514">
        <w:t xml:space="preserve"> any over payment between the TUPE Surcharge used to adjust the Prices and the corrected TUPE Surcharge calculated following a review and audit.</w:t>
      </w:r>
    </w:p>
    <w:p w:rsidR="005A4815" w:rsidRPr="003A20F7" w:rsidRDefault="005A4815" w:rsidP="005A4815">
      <w:pPr>
        <w:pStyle w:val="TLTLevel1"/>
        <w:numPr>
          <w:ilvl w:val="0"/>
          <w:numId w:val="19"/>
        </w:numPr>
        <w:rPr>
          <w:b/>
        </w:rPr>
      </w:pPr>
      <w:r w:rsidRPr="003A20F7">
        <w:rPr>
          <w:b/>
        </w:rPr>
        <w:t xml:space="preserve">Redundancy Surcharge </w:t>
      </w:r>
    </w:p>
    <w:p w:rsidR="005A4815" w:rsidRDefault="005A4815" w:rsidP="005A4815">
      <w:pPr>
        <w:pStyle w:val="TLTLevel2"/>
        <w:numPr>
          <w:ilvl w:val="1"/>
          <w:numId w:val="19"/>
        </w:numPr>
      </w:pPr>
      <w:bookmarkStart w:id="3" w:name="_Ref434395356"/>
      <w:r w:rsidRPr="00723514">
        <w:t xml:space="preserve">Where a Relevant Transfer takes place, or will take place, the </w:t>
      </w:r>
      <w:r w:rsidRPr="00723514">
        <w:rPr>
          <w:i/>
        </w:rPr>
        <w:t>Contractor</w:t>
      </w:r>
      <w:r w:rsidRPr="00723514">
        <w:t xml:space="preserve"> shall</w:t>
      </w:r>
      <w:r>
        <w:t xml:space="preserve"> not make any </w:t>
      </w:r>
      <w:r w:rsidRPr="00723514">
        <w:t xml:space="preserve">Transferring </w:t>
      </w:r>
      <w:r>
        <w:t xml:space="preserve">Former </w:t>
      </w:r>
      <w:r w:rsidRPr="00723514">
        <w:t>Contractor Employee</w:t>
      </w:r>
      <w:r>
        <w:t>(</w:t>
      </w:r>
      <w:r w:rsidRPr="00723514">
        <w:t>s</w:t>
      </w:r>
      <w:r>
        <w:t>)</w:t>
      </w:r>
      <w:r w:rsidRPr="00723514">
        <w:t xml:space="preserve"> and/or Transferring </w:t>
      </w:r>
      <w:r w:rsidR="00A00CE2" w:rsidRPr="00A00CE2">
        <w:t xml:space="preserve">Client </w:t>
      </w:r>
      <w:r w:rsidRPr="00723514">
        <w:t>Employee</w:t>
      </w:r>
      <w:r>
        <w:t>(</w:t>
      </w:r>
      <w:r w:rsidRPr="00723514">
        <w:t>s</w:t>
      </w:r>
      <w:r>
        <w:t>)</w:t>
      </w:r>
      <w:r w:rsidRPr="00723514">
        <w:t xml:space="preserve"> </w:t>
      </w:r>
      <w:r>
        <w:t xml:space="preserve">redundant without consulting the </w:t>
      </w:r>
      <w:r>
        <w:rPr>
          <w:i/>
        </w:rPr>
        <w:t>Project Manager</w:t>
      </w:r>
      <w:r>
        <w:t>.</w:t>
      </w:r>
      <w:bookmarkEnd w:id="3"/>
    </w:p>
    <w:p w:rsidR="005A4815" w:rsidRDefault="005A4815" w:rsidP="005A4815">
      <w:pPr>
        <w:pStyle w:val="TLTLevel2"/>
        <w:numPr>
          <w:ilvl w:val="1"/>
          <w:numId w:val="19"/>
        </w:numPr>
      </w:pPr>
      <w:r>
        <w:t xml:space="preserve">The </w:t>
      </w:r>
      <w:r w:rsidRPr="009D735E">
        <w:rPr>
          <w:i/>
        </w:rPr>
        <w:t>Contractor</w:t>
      </w:r>
      <w:r>
        <w:t xml:space="preserve"> shall mitigate the effects of any Redundancy Surcharge by:</w:t>
      </w:r>
    </w:p>
    <w:p w:rsidR="005A4815" w:rsidRDefault="005A4815" w:rsidP="005A4815">
      <w:pPr>
        <w:pStyle w:val="TLTLevel3"/>
        <w:numPr>
          <w:ilvl w:val="2"/>
          <w:numId w:val="19"/>
        </w:numPr>
      </w:pPr>
      <w:r>
        <w:t xml:space="preserve">redeploying such people where it is practicable for the </w:t>
      </w:r>
      <w:r>
        <w:rPr>
          <w:i/>
        </w:rPr>
        <w:t xml:space="preserve">Contractor </w:t>
      </w:r>
      <w:r>
        <w:t>to do so; or</w:t>
      </w:r>
    </w:p>
    <w:p w:rsidR="005A4815" w:rsidRDefault="005A4815" w:rsidP="005A4815">
      <w:pPr>
        <w:pStyle w:val="TLTLevel3"/>
        <w:numPr>
          <w:ilvl w:val="2"/>
          <w:numId w:val="19"/>
        </w:numPr>
      </w:pPr>
      <w:r>
        <w:t>where redeployment is not practicable, taking such reasonable mitigation steps to minimise the costs of redundancy where practicable; and</w:t>
      </w:r>
    </w:p>
    <w:p w:rsidR="005A4815" w:rsidRDefault="005A4815" w:rsidP="005A4815">
      <w:pPr>
        <w:pStyle w:val="TLTLevel3"/>
        <w:numPr>
          <w:ilvl w:val="2"/>
          <w:numId w:val="19"/>
        </w:numPr>
      </w:pPr>
      <w:r>
        <w:t xml:space="preserve">complying with the law and any reasonable instructions from the </w:t>
      </w:r>
      <w:r>
        <w:rPr>
          <w:i/>
        </w:rPr>
        <w:t>Project Manager</w:t>
      </w:r>
      <w:r>
        <w:t>.</w:t>
      </w:r>
    </w:p>
    <w:p w:rsidR="005A4815" w:rsidRDefault="005A4815" w:rsidP="005A4815">
      <w:pPr>
        <w:pStyle w:val="TLTLevel2"/>
        <w:numPr>
          <w:ilvl w:val="1"/>
          <w:numId w:val="19"/>
        </w:numPr>
      </w:pPr>
      <w:r>
        <w:t xml:space="preserve">The Redundancy Surcharge shall be zero unless the </w:t>
      </w:r>
      <w:r>
        <w:rPr>
          <w:i/>
        </w:rPr>
        <w:t>Contractor</w:t>
      </w:r>
      <w:r>
        <w:t xml:space="preserve"> has consulted with the </w:t>
      </w:r>
      <w:r>
        <w:rPr>
          <w:i/>
        </w:rPr>
        <w:t xml:space="preserve">Project Manager, </w:t>
      </w:r>
      <w:r>
        <w:t xml:space="preserve">pursuant to paragraph </w:t>
      </w:r>
      <w:r>
        <w:fldChar w:fldCharType="begin"/>
      </w:r>
      <w:r>
        <w:instrText xml:space="preserve"> REF _Ref434395356 \r \h </w:instrText>
      </w:r>
      <w:r>
        <w:fldChar w:fldCharType="separate"/>
      </w:r>
      <w:r w:rsidR="005A2C89">
        <w:t>6.1</w:t>
      </w:r>
      <w:r>
        <w:fldChar w:fldCharType="end"/>
      </w:r>
      <w:r>
        <w:t>,</w:t>
      </w:r>
      <w:r>
        <w:rPr>
          <w:i/>
        </w:rPr>
        <w:t xml:space="preserve"> </w:t>
      </w:r>
      <w:r w:rsidRPr="004C12F7">
        <w:t>about the particular</w:t>
      </w:r>
      <w:r>
        <w:rPr>
          <w:i/>
        </w:rPr>
        <w:t xml:space="preserve"> </w:t>
      </w:r>
      <w:r w:rsidRPr="00723514">
        <w:t xml:space="preserve">Transferring </w:t>
      </w:r>
      <w:r>
        <w:t xml:space="preserve">Former </w:t>
      </w:r>
      <w:r w:rsidRPr="00723514">
        <w:t>Contractor Employee</w:t>
      </w:r>
      <w:r>
        <w:t>(</w:t>
      </w:r>
      <w:r w:rsidRPr="00723514">
        <w:t>s</w:t>
      </w:r>
      <w:r>
        <w:t>)</w:t>
      </w:r>
      <w:r w:rsidRPr="00723514">
        <w:t xml:space="preserve"> and/or Transferring </w:t>
      </w:r>
      <w:r w:rsidR="00A00CE2" w:rsidRPr="00A00CE2">
        <w:t>Client</w:t>
      </w:r>
      <w:r w:rsidRPr="00723514">
        <w:t xml:space="preserve"> Employee</w:t>
      </w:r>
      <w:r>
        <w:t>(</w:t>
      </w:r>
      <w:r w:rsidRPr="00723514">
        <w:t>s</w:t>
      </w:r>
      <w:r>
        <w:t xml:space="preserve">) within [12 months] of the </w:t>
      </w:r>
      <w:r>
        <w:rPr>
          <w:i/>
        </w:rPr>
        <w:t>starting date.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</w:pPr>
      <w:bookmarkStart w:id="4" w:name="_Ref434395340"/>
      <w:r>
        <w:t xml:space="preserve">Where redundancy is unavoidable, the </w:t>
      </w:r>
      <w:r w:rsidRPr="009D735E">
        <w:rPr>
          <w:i/>
        </w:rPr>
        <w:t>Contractor</w:t>
      </w:r>
      <w:r>
        <w:t xml:space="preserve"> shall provide the </w:t>
      </w:r>
      <w:r>
        <w:rPr>
          <w:i/>
        </w:rPr>
        <w:t>Project Manager</w:t>
      </w:r>
      <w:r>
        <w:t xml:space="preserve"> with its estimate</w:t>
      </w:r>
      <w:r w:rsidRPr="00723514">
        <w:t xml:space="preserve"> of the </w:t>
      </w:r>
      <w:r>
        <w:t>Redundancy</w:t>
      </w:r>
      <w:r w:rsidRPr="00723514">
        <w:t xml:space="preserve"> Surcharge together with a breakdown and supporting evidence as may be reasonably necessary for the </w:t>
      </w:r>
      <w:r>
        <w:rPr>
          <w:i/>
        </w:rPr>
        <w:t>Project Manager</w:t>
      </w:r>
      <w:r w:rsidRPr="00723514">
        <w:t xml:space="preserve"> to corroborate and assess the calculation of the </w:t>
      </w:r>
      <w:r>
        <w:t>Redundancy</w:t>
      </w:r>
      <w:r w:rsidRPr="00723514">
        <w:t xml:space="preserve"> Surcharge.</w:t>
      </w:r>
      <w:bookmarkEnd w:id="4"/>
      <w:r w:rsidRPr="00723514">
        <w:t xml:space="preserve"> 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On receipt of </w:t>
      </w:r>
      <w:r w:rsidRPr="00081EE8">
        <w:t xml:space="preserve">the </w:t>
      </w:r>
      <w:r w:rsidRPr="00081EE8">
        <w:rPr>
          <w:i/>
        </w:rPr>
        <w:t>Contractor</w:t>
      </w:r>
      <w:r w:rsidRPr="00081EE8">
        <w:t>’s calculation</w:t>
      </w:r>
      <w:r w:rsidRPr="00723514">
        <w:t xml:space="preserve"> of the </w:t>
      </w:r>
      <w:r>
        <w:t>Redundancy</w:t>
      </w:r>
      <w:r w:rsidRPr="00723514">
        <w:t xml:space="preserve"> Surcharge in accordance with paragraph </w:t>
      </w:r>
      <w:r>
        <w:fldChar w:fldCharType="begin"/>
      </w:r>
      <w:r>
        <w:instrText xml:space="preserve"> REF _Ref434395340 \r \h </w:instrText>
      </w:r>
      <w:r>
        <w:fldChar w:fldCharType="separate"/>
      </w:r>
      <w:r w:rsidR="005A2C89">
        <w:t>6.4</w:t>
      </w:r>
      <w:r>
        <w:fldChar w:fldCharType="end"/>
      </w:r>
      <w:r>
        <w:t xml:space="preserve"> </w:t>
      </w:r>
      <w:r w:rsidRPr="00723514">
        <w:t xml:space="preserve">the </w:t>
      </w:r>
      <w:r>
        <w:rPr>
          <w:i/>
        </w:rPr>
        <w:t>Project Manager</w:t>
      </w:r>
      <w:r w:rsidRPr="00723514">
        <w:rPr>
          <w:i/>
        </w:rPr>
        <w:t xml:space="preserve"> </w:t>
      </w:r>
      <w:r w:rsidRPr="00723514">
        <w:t>shall either: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n</w:t>
      </w:r>
      <w:r w:rsidRPr="00081EE8">
        <w:t xml:space="preserve">otify the </w:t>
      </w:r>
      <w:r w:rsidRPr="00081EE8">
        <w:rPr>
          <w:i/>
        </w:rPr>
        <w:t>Contractor</w:t>
      </w:r>
      <w:r w:rsidRPr="00081EE8">
        <w:t xml:space="preserve"> in writing of acceptance of the </w:t>
      </w:r>
      <w:r>
        <w:t>Redundancy</w:t>
      </w:r>
      <w:r w:rsidRPr="00081EE8">
        <w:t xml:space="preserve"> Surcharge relating to the Relevant Transfer</w:t>
      </w:r>
      <w:r>
        <w:t>; and/or</w:t>
      </w:r>
      <w:r w:rsidRPr="00081EE8">
        <w:t xml:space="preserve"> 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r</w:t>
      </w:r>
      <w:r w:rsidRPr="00081EE8">
        <w:t>equest further information/evidence; and/ or</w:t>
      </w:r>
    </w:p>
    <w:p w:rsidR="005A4815" w:rsidRPr="00081EE8" w:rsidRDefault="005A4815" w:rsidP="005A4815">
      <w:pPr>
        <w:pStyle w:val="TLTLevel3"/>
        <w:numPr>
          <w:ilvl w:val="2"/>
          <w:numId w:val="19"/>
        </w:numPr>
      </w:pPr>
      <w:r>
        <w:t>r</w:t>
      </w:r>
      <w:r w:rsidRPr="00081EE8">
        <w:t>equest a meeting to discuss/clarify the evidence provided</w:t>
      </w:r>
      <w:r>
        <w:t>.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Where the </w:t>
      </w:r>
      <w:r>
        <w:t>Redundancy</w:t>
      </w:r>
      <w:r w:rsidRPr="00723514">
        <w:t xml:space="preserve"> Surcharge is agreed following the receipt of further information/evidence or following a meeting, the </w:t>
      </w:r>
      <w:r>
        <w:rPr>
          <w:i/>
        </w:rPr>
        <w:t>Project Manager</w:t>
      </w:r>
      <w:r w:rsidRPr="00723514">
        <w:rPr>
          <w:i/>
        </w:rPr>
        <w:t xml:space="preserve"> </w:t>
      </w:r>
      <w:r w:rsidRPr="00723514">
        <w:t xml:space="preserve">shall notify the </w:t>
      </w:r>
      <w:r w:rsidRPr="00723514">
        <w:rPr>
          <w:i/>
        </w:rPr>
        <w:t xml:space="preserve">Contractor </w:t>
      </w:r>
      <w:r w:rsidRPr="00723514">
        <w:t xml:space="preserve">in writing. </w:t>
      </w:r>
    </w:p>
    <w:p w:rsidR="005A4815" w:rsidRPr="00723514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>In the event that the</w:t>
      </w:r>
      <w:r w:rsidRPr="00723514">
        <w:rPr>
          <w:i/>
        </w:rPr>
        <w:t xml:space="preserve"> Contractor </w:t>
      </w:r>
      <w:r w:rsidRPr="00723514">
        <w:t xml:space="preserve">and the </w:t>
      </w:r>
      <w:r>
        <w:rPr>
          <w:i/>
        </w:rPr>
        <w:t>Project Manager</w:t>
      </w:r>
      <w:r w:rsidRPr="00723514">
        <w:t xml:space="preserve"> are unable to agree the</w:t>
      </w:r>
      <w:r>
        <w:rPr>
          <w:b/>
          <w:caps/>
        </w:rPr>
        <w:t xml:space="preserve"> </w:t>
      </w:r>
      <w:r>
        <w:t>Redundancy</w:t>
      </w:r>
      <w:r w:rsidRPr="00723514">
        <w:t xml:space="preserve"> Surcharge, they shall follow the agreed dispute resolution procedure. </w:t>
      </w:r>
    </w:p>
    <w:p w:rsidR="005A4815" w:rsidRPr="00C50128" w:rsidRDefault="005A4815" w:rsidP="005A4815">
      <w:pPr>
        <w:pStyle w:val="TLTLevel2"/>
        <w:numPr>
          <w:ilvl w:val="1"/>
          <w:numId w:val="19"/>
        </w:numPr>
        <w:rPr>
          <w:b/>
        </w:rPr>
      </w:pPr>
      <w:r w:rsidRPr="00723514">
        <w:t xml:space="preserve">On agreement of the </w:t>
      </w:r>
      <w:r>
        <w:t>Redundancy</w:t>
      </w:r>
      <w:r w:rsidRPr="00723514">
        <w:t xml:space="preserve"> Surcharge the Prices shall be changed accordingly.</w:t>
      </w:r>
    </w:p>
    <w:p w:rsidR="005A4815" w:rsidRDefault="005A4815" w:rsidP="005A4815"/>
    <w:p w:rsidR="009A0E87" w:rsidRDefault="009A0E87">
      <w:pPr>
        <w:pStyle w:val="TLTBodyText"/>
      </w:pPr>
    </w:p>
    <w:sectPr w:rsidR="009A0E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588" w:bottom="1440" w:left="1843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587" w:rsidRDefault="008B2587" w:rsidP="0092520A">
      <w:r>
        <w:separator/>
      </w:r>
    </w:p>
  </w:endnote>
  <w:endnote w:type="continuationSeparator" w:id="0">
    <w:p w:rsidR="008B2587" w:rsidRDefault="008B2587" w:rsidP="0092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altName w:val="MS Mincho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815" w:rsidRDefault="005A48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35"/>
      <w:gridCol w:w="2881"/>
      <w:gridCol w:w="2875"/>
    </w:tblGrid>
    <w:tr w:rsidR="009A0E87">
      <w:tc>
        <w:tcPr>
          <w:tcW w:w="3080" w:type="dxa"/>
        </w:tcPr>
        <w:p w:rsidR="009A0E87" w:rsidRDefault="006529FD">
          <w:pPr>
            <w:pStyle w:val="Footer"/>
          </w:pPr>
          <w:r>
            <w:fldChar w:fldCharType="begin"/>
          </w:r>
          <w:r>
            <w:instrText xml:space="preserve"> DOCPROPERTY  DocID  \* MERGEFORMAT </w:instrText>
          </w:r>
          <w:r>
            <w:fldChar w:fldCharType="separate"/>
          </w:r>
          <w:r w:rsidR="005A2C89">
            <w:t>41744988.2</w:t>
          </w:r>
          <w:r>
            <w:fldChar w:fldCharType="end"/>
          </w:r>
        </w:p>
      </w:tc>
      <w:tc>
        <w:tcPr>
          <w:tcW w:w="3081" w:type="dxa"/>
        </w:tcPr>
        <w:p w:rsidR="009A0E87" w:rsidRDefault="008B2587">
          <w:pPr>
            <w:pStyle w:val="Footer"/>
            <w:jc w:val="center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6529FD">
            <w:rPr>
              <w:noProof/>
            </w:rPr>
            <w:t>2</w:t>
          </w:r>
          <w:r>
            <w:fldChar w:fldCharType="end"/>
          </w:r>
        </w:p>
      </w:tc>
      <w:tc>
        <w:tcPr>
          <w:tcW w:w="3081" w:type="dxa"/>
        </w:tcPr>
        <w:p w:rsidR="009A0E87" w:rsidRDefault="009A0E87">
          <w:pPr>
            <w:pStyle w:val="Footer"/>
          </w:pPr>
        </w:p>
      </w:tc>
    </w:tr>
  </w:tbl>
  <w:p w:rsidR="009A0E87" w:rsidRDefault="009A0E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815" w:rsidRDefault="005A48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587" w:rsidRDefault="008B2587" w:rsidP="0092520A">
      <w:r>
        <w:separator/>
      </w:r>
    </w:p>
  </w:footnote>
  <w:footnote w:type="continuationSeparator" w:id="0">
    <w:p w:rsidR="008B2587" w:rsidRDefault="008B2587" w:rsidP="00925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815" w:rsidRDefault="005A48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E87" w:rsidRDefault="009A0E8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815" w:rsidRDefault="005A481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64D15"/>
    <w:multiLevelType w:val="hybridMultilevel"/>
    <w:tmpl w:val="E70690B2"/>
    <w:lvl w:ilvl="0" w:tplc="86A0103A">
      <w:start w:val="1"/>
      <w:numFmt w:val="decimal"/>
      <w:pStyle w:val="TLTPartiesFrontSheet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52761"/>
    <w:multiLevelType w:val="multilevel"/>
    <w:tmpl w:val="0F745380"/>
    <w:styleLink w:val="Bullets"/>
    <w:lvl w:ilvl="0">
      <w:start w:val="1"/>
      <w:numFmt w:val="bullet"/>
      <w:pStyle w:val="TLTBulletsBody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bullet"/>
      <w:pStyle w:val="TLTBulletsLevel1"/>
      <w:lvlText w:val=""/>
      <w:lvlJc w:val="left"/>
      <w:pPr>
        <w:tabs>
          <w:tab w:val="num" w:pos="720"/>
        </w:tabs>
        <w:ind w:left="1803" w:hanging="1083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803" w:hanging="1083"/>
      </w:pPr>
      <w:rPr>
        <w:rFonts w:hint="default"/>
      </w:rPr>
    </w:lvl>
  </w:abstractNum>
  <w:abstractNum w:abstractNumId="2">
    <w:nsid w:val="08A95E8D"/>
    <w:multiLevelType w:val="multilevel"/>
    <w:tmpl w:val="A3B62992"/>
    <w:styleLink w:val="Appendix"/>
    <w:lvl w:ilvl="0">
      <w:start w:val="1"/>
      <w:numFmt w:val="decimal"/>
      <w:pStyle w:val="TLTAppendix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Appendix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Appendix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Appendix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Appendix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3">
    <w:nsid w:val="0F893A90"/>
    <w:multiLevelType w:val="multilevel"/>
    <w:tmpl w:val="A984B39C"/>
    <w:styleLink w:val="Level"/>
    <w:lvl w:ilvl="0">
      <w:start w:val="1"/>
      <w:numFmt w:val="decimal"/>
      <w:pStyle w:val="TLTLevel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Level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Level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Level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Level5"/>
      <w:lvlText w:val="(%5)"/>
      <w:lvlJc w:val="left"/>
      <w:pPr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4">
    <w:nsid w:val="18F06032"/>
    <w:multiLevelType w:val="hybridMultilevel"/>
    <w:tmpl w:val="F09AE0B8"/>
    <w:lvl w:ilvl="0" w:tplc="016AB07A">
      <w:start w:val="1"/>
      <w:numFmt w:val="upperLetter"/>
      <w:pStyle w:val="TOC3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5">
    <w:nsid w:val="1F566CF2"/>
    <w:multiLevelType w:val="multilevel"/>
    <w:tmpl w:val="A3B62992"/>
    <w:numStyleLink w:val="Appendix"/>
  </w:abstractNum>
  <w:abstractNum w:abstractNumId="6">
    <w:nsid w:val="23116E6D"/>
    <w:multiLevelType w:val="multilevel"/>
    <w:tmpl w:val="28FEF948"/>
    <w:numStyleLink w:val="Appendixheading"/>
  </w:abstractNum>
  <w:abstractNum w:abstractNumId="7">
    <w:nsid w:val="2521121D"/>
    <w:multiLevelType w:val="multilevel"/>
    <w:tmpl w:val="9A0EAD0C"/>
    <w:styleLink w:val="Scheduleheading"/>
    <w:lvl w:ilvl="0">
      <w:start w:val="1"/>
      <w:numFmt w:val="decimal"/>
      <w:pStyle w:val="TLTScheduleHeading"/>
      <w:suff w:val="nothing"/>
      <w:lvlText w:val="Schedule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28161C12"/>
    <w:multiLevelType w:val="multilevel"/>
    <w:tmpl w:val="72B2A5CE"/>
    <w:styleLink w:val="Scheduletext"/>
    <w:lvl w:ilvl="0">
      <w:start w:val="1"/>
      <w:numFmt w:val="decimal"/>
      <w:pStyle w:val="TLTScheduleTex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TLTScheduleTex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LTScheduleText3"/>
      <w:lvlText w:val="%1.%2.%3"/>
      <w:lvlJc w:val="left"/>
      <w:pPr>
        <w:ind w:left="1803" w:hanging="1083"/>
      </w:pPr>
      <w:rPr>
        <w:rFonts w:hint="default"/>
      </w:rPr>
    </w:lvl>
    <w:lvl w:ilvl="3">
      <w:start w:val="1"/>
      <w:numFmt w:val="lowerLetter"/>
      <w:pStyle w:val="TLTScheduleText4"/>
      <w:lvlText w:val="(%4)"/>
      <w:lvlJc w:val="left"/>
      <w:pPr>
        <w:ind w:left="1803" w:hanging="1083"/>
      </w:pPr>
      <w:rPr>
        <w:rFonts w:hint="default"/>
      </w:rPr>
    </w:lvl>
    <w:lvl w:ilvl="4">
      <w:start w:val="1"/>
      <w:numFmt w:val="lowerRoman"/>
      <w:pStyle w:val="TLTScheduleText5"/>
      <w:lvlText w:val="(%5)"/>
      <w:lvlJc w:val="left"/>
      <w:pPr>
        <w:tabs>
          <w:tab w:val="num" w:pos="1803"/>
        </w:tabs>
        <w:ind w:left="2523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523" w:hanging="720"/>
      </w:pPr>
      <w:rPr>
        <w:rFonts w:hint="default"/>
      </w:rPr>
    </w:lvl>
  </w:abstractNum>
  <w:abstractNum w:abstractNumId="9">
    <w:nsid w:val="2CE46DE7"/>
    <w:multiLevelType w:val="hybridMultilevel"/>
    <w:tmpl w:val="096A6644"/>
    <w:lvl w:ilvl="0" w:tplc="5C6CF7A0">
      <w:start w:val="1"/>
      <w:numFmt w:val="decimal"/>
      <w:pStyle w:val="TLTPartiesBodyText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8B28A5"/>
    <w:multiLevelType w:val="multilevel"/>
    <w:tmpl w:val="28FEF948"/>
    <w:styleLink w:val="Appendixheading"/>
    <w:lvl w:ilvl="0">
      <w:start w:val="1"/>
      <w:numFmt w:val="upperLetter"/>
      <w:pStyle w:val="TLTAppendixHeading"/>
      <w:suff w:val="nothing"/>
      <w:lvlText w:val="Appendix %1"/>
      <w:lvlJc w:val="center"/>
      <w:pPr>
        <w:ind w:left="0" w:firstLine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1">
    <w:nsid w:val="380421E4"/>
    <w:multiLevelType w:val="multilevel"/>
    <w:tmpl w:val="72B2A5CE"/>
    <w:numStyleLink w:val="Scheduletext"/>
  </w:abstractNum>
  <w:abstractNum w:abstractNumId="12">
    <w:nsid w:val="47665FD0"/>
    <w:multiLevelType w:val="multilevel"/>
    <w:tmpl w:val="5C129AB6"/>
    <w:styleLink w:val="Definitions"/>
    <w:lvl w:ilvl="0">
      <w:start w:val="1"/>
      <w:numFmt w:val="lowerLetter"/>
      <w:pStyle w:val="TLTDefinitionList"/>
      <w:lvlText w:val="(%1)"/>
      <w:lvlJc w:val="left"/>
      <w:pPr>
        <w:ind w:left="720" w:hanging="720"/>
      </w:pPr>
      <w:rPr>
        <w:rFonts w:hint="default"/>
      </w:rPr>
    </w:lvl>
    <w:lvl w:ilvl="1">
      <w:start w:val="1"/>
      <w:numFmt w:val="lowerRoman"/>
      <w:pStyle w:val="TLTDefinitionListLevel1"/>
      <w:lvlText w:val="(%2)"/>
      <w:lvlJc w:val="left"/>
      <w:pPr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440" w:hanging="720"/>
      </w:pPr>
      <w:rPr>
        <w:rFonts w:hint="default"/>
      </w:rPr>
    </w:lvl>
  </w:abstractNum>
  <w:abstractNum w:abstractNumId="13">
    <w:nsid w:val="4A4E5640"/>
    <w:multiLevelType w:val="multilevel"/>
    <w:tmpl w:val="A984B39C"/>
    <w:numStyleLink w:val="Level"/>
  </w:abstractNum>
  <w:abstractNum w:abstractNumId="14">
    <w:nsid w:val="51200365"/>
    <w:multiLevelType w:val="multilevel"/>
    <w:tmpl w:val="EAC62AD6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781"/>
        </w:tabs>
        <w:ind w:left="2781" w:hanging="1080"/>
      </w:pPr>
      <w:rPr>
        <w:rFonts w:ascii="Arial" w:hAnsi="Arial" w:hint="default"/>
        <w:b w:val="0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5">
    <w:nsid w:val="61C92B75"/>
    <w:multiLevelType w:val="multilevel"/>
    <w:tmpl w:val="5C129AB6"/>
    <w:numStyleLink w:val="Definitions"/>
  </w:abstractNum>
  <w:abstractNum w:abstractNumId="16">
    <w:nsid w:val="702C2885"/>
    <w:multiLevelType w:val="multilevel"/>
    <w:tmpl w:val="0F745380"/>
    <w:numStyleLink w:val="Bullets"/>
  </w:abstractNum>
  <w:abstractNum w:abstractNumId="17">
    <w:nsid w:val="71A93C1C"/>
    <w:multiLevelType w:val="hybridMultilevel"/>
    <w:tmpl w:val="74A2FB96"/>
    <w:lvl w:ilvl="0" w:tplc="2B724192">
      <w:start w:val="1"/>
      <w:numFmt w:val="decimal"/>
      <w:pStyle w:val="TOC2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2F7A72"/>
    <w:multiLevelType w:val="hybridMultilevel"/>
    <w:tmpl w:val="53AEC332"/>
    <w:lvl w:ilvl="0" w:tplc="9FF6449A">
      <w:start w:val="1"/>
      <w:numFmt w:val="upperLetter"/>
      <w:pStyle w:val="TLTRecitals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10"/>
  </w:num>
  <w:num w:numId="10">
    <w:abstractNumId w:val="7"/>
  </w:num>
  <w:num w:numId="11">
    <w:abstractNumId w:val="1"/>
  </w:num>
  <w:num w:numId="12">
    <w:abstractNumId w:val="12"/>
  </w:num>
  <w:num w:numId="13">
    <w:abstractNumId w:val="13"/>
  </w:num>
  <w:num w:numId="14">
    <w:abstractNumId w:val="15"/>
  </w:num>
  <w:num w:numId="15">
    <w:abstractNumId w:val="6"/>
  </w:num>
  <w:num w:numId="16">
    <w:abstractNumId w:val="16"/>
  </w:num>
  <w:num w:numId="17">
    <w:abstractNumId w:val="5"/>
  </w:num>
  <w:num w:numId="18">
    <w:abstractNumId w:val="11"/>
  </w:num>
  <w:num w:numId="19">
    <w:abstractNumId w:val="13"/>
    <w:lvlOverride w:ilvl="1">
      <w:lvl w:ilvl="1">
        <w:start w:val="1"/>
        <w:numFmt w:val="decimal"/>
        <w:pStyle w:val="TLTLevel2"/>
        <w:lvlText w:val="%1.%2"/>
        <w:lvlJc w:val="left"/>
        <w:pPr>
          <w:ind w:left="720" w:hanging="72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TLTLevel3"/>
        <w:lvlText w:val="%1.%2.%3"/>
        <w:lvlJc w:val="left"/>
        <w:pPr>
          <w:ind w:left="1803" w:hanging="1083"/>
        </w:pPr>
        <w:rPr>
          <w:rFonts w:hint="default"/>
          <w:b w:val="0"/>
        </w:rPr>
      </w:lvl>
    </w:lvlOverride>
    <w:lvlOverride w:ilvl="3">
      <w:lvl w:ilvl="3">
        <w:start w:val="1"/>
        <w:numFmt w:val="lowerLetter"/>
        <w:pStyle w:val="TLTLevel4"/>
        <w:lvlText w:val="(%4)"/>
        <w:lvlJc w:val="left"/>
        <w:pPr>
          <w:ind w:left="1803" w:hanging="1083"/>
        </w:pPr>
        <w:rPr>
          <w:rFonts w:hint="default"/>
          <w:b w:val="0"/>
        </w:rPr>
      </w:lvl>
    </w:lvlOverride>
    <w:lvlOverride w:ilvl="4">
      <w:lvl w:ilvl="4">
        <w:start w:val="1"/>
        <w:numFmt w:val="lowerRoman"/>
        <w:pStyle w:val="TLTLevel5"/>
        <w:lvlText w:val="(%5)"/>
        <w:lvlJc w:val="left"/>
        <w:pPr>
          <w:ind w:left="2523" w:hanging="720"/>
        </w:pPr>
        <w:rPr>
          <w:rFonts w:hint="default"/>
          <w:b w:val="0"/>
        </w:rPr>
      </w:lvl>
    </w:lvlOverride>
  </w:num>
  <w:num w:numId="2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572"/>
    <w:rsid w:val="000519A1"/>
    <w:rsid w:val="000634EC"/>
    <w:rsid w:val="00070972"/>
    <w:rsid w:val="00087095"/>
    <w:rsid w:val="000D56D3"/>
    <w:rsid w:val="000E45D4"/>
    <w:rsid w:val="000F3AB5"/>
    <w:rsid w:val="00103929"/>
    <w:rsid w:val="001443F1"/>
    <w:rsid w:val="001D0BB0"/>
    <w:rsid w:val="001F788A"/>
    <w:rsid w:val="00204630"/>
    <w:rsid w:val="0021298D"/>
    <w:rsid w:val="002352FD"/>
    <w:rsid w:val="00295078"/>
    <w:rsid w:val="002A042A"/>
    <w:rsid w:val="002B70A1"/>
    <w:rsid w:val="002F70AA"/>
    <w:rsid w:val="003171CD"/>
    <w:rsid w:val="0032546A"/>
    <w:rsid w:val="003623BD"/>
    <w:rsid w:val="00367ADA"/>
    <w:rsid w:val="00391442"/>
    <w:rsid w:val="003A523B"/>
    <w:rsid w:val="003B3E84"/>
    <w:rsid w:val="003D2295"/>
    <w:rsid w:val="003F6FD7"/>
    <w:rsid w:val="00415592"/>
    <w:rsid w:val="00416A19"/>
    <w:rsid w:val="00425299"/>
    <w:rsid w:val="00446CA5"/>
    <w:rsid w:val="00452691"/>
    <w:rsid w:val="004851F4"/>
    <w:rsid w:val="00487EB3"/>
    <w:rsid w:val="004B0BED"/>
    <w:rsid w:val="00517B51"/>
    <w:rsid w:val="005412F0"/>
    <w:rsid w:val="00542498"/>
    <w:rsid w:val="005A0393"/>
    <w:rsid w:val="005A2C89"/>
    <w:rsid w:val="005A4815"/>
    <w:rsid w:val="005B0EBD"/>
    <w:rsid w:val="005B33FB"/>
    <w:rsid w:val="005E7444"/>
    <w:rsid w:val="006020B6"/>
    <w:rsid w:val="00606416"/>
    <w:rsid w:val="00631E92"/>
    <w:rsid w:val="00640555"/>
    <w:rsid w:val="006529FD"/>
    <w:rsid w:val="00694D7D"/>
    <w:rsid w:val="006B5C33"/>
    <w:rsid w:val="006E253E"/>
    <w:rsid w:val="006F2572"/>
    <w:rsid w:val="006F6713"/>
    <w:rsid w:val="0071046D"/>
    <w:rsid w:val="00722088"/>
    <w:rsid w:val="00735596"/>
    <w:rsid w:val="00774DFF"/>
    <w:rsid w:val="007C766F"/>
    <w:rsid w:val="007D3927"/>
    <w:rsid w:val="00812B12"/>
    <w:rsid w:val="00813A9E"/>
    <w:rsid w:val="00842C59"/>
    <w:rsid w:val="008905F4"/>
    <w:rsid w:val="008953AA"/>
    <w:rsid w:val="008B2587"/>
    <w:rsid w:val="008C66A5"/>
    <w:rsid w:val="008D32BC"/>
    <w:rsid w:val="008E30FB"/>
    <w:rsid w:val="0092520A"/>
    <w:rsid w:val="00931E04"/>
    <w:rsid w:val="0093284C"/>
    <w:rsid w:val="0097481B"/>
    <w:rsid w:val="009A0E87"/>
    <w:rsid w:val="009F50C1"/>
    <w:rsid w:val="00A00CE2"/>
    <w:rsid w:val="00A23059"/>
    <w:rsid w:val="00A2340A"/>
    <w:rsid w:val="00A314E6"/>
    <w:rsid w:val="00A56BA5"/>
    <w:rsid w:val="00A627C9"/>
    <w:rsid w:val="00AE2E3C"/>
    <w:rsid w:val="00B31AB9"/>
    <w:rsid w:val="00B628FA"/>
    <w:rsid w:val="00BD2C97"/>
    <w:rsid w:val="00BE089E"/>
    <w:rsid w:val="00BE2C4F"/>
    <w:rsid w:val="00BF08D4"/>
    <w:rsid w:val="00BF2A4C"/>
    <w:rsid w:val="00C065F6"/>
    <w:rsid w:val="00C57D36"/>
    <w:rsid w:val="00CB3B5A"/>
    <w:rsid w:val="00CE6165"/>
    <w:rsid w:val="00D33926"/>
    <w:rsid w:val="00D65B1E"/>
    <w:rsid w:val="00D75B23"/>
    <w:rsid w:val="00D77355"/>
    <w:rsid w:val="00D817EE"/>
    <w:rsid w:val="00D84D60"/>
    <w:rsid w:val="00D932E2"/>
    <w:rsid w:val="00DE34F4"/>
    <w:rsid w:val="00E271D9"/>
    <w:rsid w:val="00E37DFA"/>
    <w:rsid w:val="00E64BC4"/>
    <w:rsid w:val="00E72172"/>
    <w:rsid w:val="00E85BBA"/>
    <w:rsid w:val="00EB2B3B"/>
    <w:rsid w:val="00EB40CC"/>
    <w:rsid w:val="00EC1F7A"/>
    <w:rsid w:val="00F13A3D"/>
    <w:rsid w:val="00F22CD2"/>
    <w:rsid w:val="00F3639C"/>
    <w:rsid w:val="00FB1BB2"/>
    <w:rsid w:val="00FB56F9"/>
    <w:rsid w:val="00FE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0F43FB1D-9E3D-47C8-9838-9ED920F0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 w:qFormat="1"/>
    <w:lsdException w:name="heading 2" w:semiHidden="1" w:uiPriority="0" w:qFormat="1"/>
    <w:lsdException w:name="heading 3" w:semiHidden="1" w:uiPriority="0" w:qFormat="1"/>
    <w:lsdException w:name="heading 4" w:semiHidden="1" w:uiPriority="6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4815"/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1"/>
    <w:qFormat/>
    <w:rsid w:val="005A4815"/>
    <w:pPr>
      <w:keepNext/>
      <w:numPr>
        <w:numId w:val="20"/>
      </w:numPr>
      <w:adjustRightInd w:val="0"/>
      <w:spacing w:after="240"/>
      <w:jc w:val="both"/>
      <w:outlineLvl w:val="0"/>
    </w:pPr>
    <w:rPr>
      <w:rFonts w:eastAsia="STZhongsong" w:cs="Times New Roman"/>
      <w:b/>
      <w:caps/>
      <w:sz w:val="22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5A4815"/>
    <w:pPr>
      <w:numPr>
        <w:ilvl w:val="1"/>
        <w:numId w:val="20"/>
      </w:numPr>
      <w:adjustRightInd w:val="0"/>
      <w:spacing w:after="240"/>
      <w:jc w:val="both"/>
      <w:outlineLvl w:val="1"/>
    </w:pPr>
    <w:rPr>
      <w:rFonts w:eastAsia="STZhongsong" w:cs="Times New Roman"/>
      <w:sz w:val="22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5A4815"/>
    <w:pPr>
      <w:numPr>
        <w:ilvl w:val="2"/>
        <w:numId w:val="20"/>
      </w:numPr>
      <w:adjustRightInd w:val="0"/>
      <w:spacing w:after="240"/>
      <w:jc w:val="both"/>
      <w:outlineLvl w:val="2"/>
    </w:pPr>
    <w:rPr>
      <w:rFonts w:eastAsia="STZhongsong" w:cs="Times New Roman"/>
      <w:sz w:val="22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6"/>
    <w:qFormat/>
    <w:rsid w:val="005A4815"/>
    <w:pPr>
      <w:numPr>
        <w:ilvl w:val="3"/>
        <w:numId w:val="20"/>
      </w:numPr>
      <w:adjustRightInd w:val="0"/>
      <w:spacing w:after="240"/>
      <w:jc w:val="both"/>
      <w:outlineLvl w:val="3"/>
    </w:pPr>
    <w:rPr>
      <w:rFonts w:eastAsia="STZhongsong" w:cs="Times New Roman"/>
      <w:sz w:val="22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5A4815"/>
    <w:pPr>
      <w:numPr>
        <w:ilvl w:val="4"/>
        <w:numId w:val="20"/>
      </w:numPr>
      <w:adjustRightInd w:val="0"/>
      <w:spacing w:after="240"/>
      <w:jc w:val="both"/>
      <w:outlineLvl w:val="4"/>
    </w:pPr>
    <w:rPr>
      <w:rFonts w:eastAsia="STZhongsong" w:cs="Times New Roman"/>
      <w:sz w:val="22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5A4815"/>
    <w:pPr>
      <w:numPr>
        <w:ilvl w:val="5"/>
        <w:numId w:val="20"/>
      </w:numPr>
      <w:adjustRightInd w:val="0"/>
      <w:spacing w:after="240"/>
      <w:jc w:val="both"/>
      <w:outlineLvl w:val="5"/>
    </w:pPr>
    <w:rPr>
      <w:rFonts w:eastAsia="STZhongsong" w:cs="Times New Roman"/>
      <w:sz w:val="22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5A4815"/>
    <w:pPr>
      <w:numPr>
        <w:ilvl w:val="6"/>
        <w:numId w:val="20"/>
      </w:numPr>
      <w:adjustRightInd w:val="0"/>
      <w:spacing w:after="240"/>
      <w:jc w:val="both"/>
      <w:outlineLvl w:val="6"/>
    </w:pPr>
    <w:rPr>
      <w:rFonts w:eastAsia="STZhongsong" w:cs="Times New Roman"/>
      <w:sz w:val="22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5A4815"/>
    <w:pPr>
      <w:numPr>
        <w:ilvl w:val="7"/>
        <w:numId w:val="20"/>
      </w:numPr>
      <w:adjustRightInd w:val="0"/>
      <w:spacing w:after="240"/>
      <w:jc w:val="both"/>
      <w:outlineLvl w:val="7"/>
    </w:pPr>
    <w:rPr>
      <w:rFonts w:eastAsia="STZhongsong" w:cs="Times New Roman"/>
      <w:sz w:val="22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5A4815"/>
    <w:pPr>
      <w:numPr>
        <w:ilvl w:val="8"/>
        <w:numId w:val="20"/>
      </w:numPr>
      <w:adjustRightInd w:val="0"/>
      <w:spacing w:after="240"/>
      <w:jc w:val="both"/>
      <w:outlineLvl w:val="8"/>
    </w:pPr>
    <w:rPr>
      <w:rFonts w:eastAsia="STZhongsong" w:cs="Times New Roman"/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LTAction">
    <w:name w:val="TLT Action"/>
    <w:basedOn w:val="Normal"/>
    <w:next w:val="TLTBodyText"/>
    <w:pPr>
      <w:spacing w:before="100"/>
      <w:jc w:val="right"/>
    </w:pPr>
    <w:rPr>
      <w:rFonts w:eastAsia="Times New Roman" w:cs="Times New Roman"/>
      <w:b/>
      <w:szCs w:val="24"/>
      <w:lang w:eastAsia="en-GB"/>
    </w:rPr>
  </w:style>
  <w:style w:type="paragraph" w:customStyle="1" w:styleId="TLTAdditional">
    <w:name w:val="TLT Additional"/>
    <w:basedOn w:val="Normal"/>
    <w:pPr>
      <w:spacing w:before="300" w:after="300"/>
    </w:pPr>
    <w:rPr>
      <w:rFonts w:eastAsia="Times New Roman" w:cs="Times New Roman"/>
      <w:b/>
      <w:szCs w:val="24"/>
      <w:lang w:eastAsia="en-GB"/>
    </w:rPr>
  </w:style>
  <w:style w:type="paragraph" w:customStyle="1" w:styleId="TLTAddress">
    <w:name w:val="TLT Address"/>
    <w:basedOn w:val="Normal"/>
    <w:rPr>
      <w:rFonts w:eastAsia="Times New Roman" w:cs="Times New Roman"/>
      <w:szCs w:val="24"/>
      <w:lang w:eastAsia="en-GB"/>
    </w:rPr>
  </w:style>
  <w:style w:type="paragraph" w:customStyle="1" w:styleId="TLTAppendixHeading">
    <w:name w:val="TLT Appendix Heading"/>
    <w:basedOn w:val="Normal"/>
    <w:next w:val="TLTAppendixSubHeading"/>
    <w:pPr>
      <w:numPr>
        <w:numId w:val="15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SubHeading">
    <w:name w:val="TLT Appendix Sub Heading"/>
    <w:basedOn w:val="Normal"/>
    <w:next w:val="TLTBodyText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AppendixText1">
    <w:name w:val="TLT Appendix Text 1"/>
    <w:basedOn w:val="Normal"/>
    <w:next w:val="TLTBodyText1"/>
    <w:pPr>
      <w:numPr>
        <w:numId w:val="17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AppendixText2">
    <w:name w:val="TLT Appendix Text 2"/>
    <w:basedOn w:val="TLTAppendixText1"/>
    <w:next w:val="TLTBodyText2"/>
    <w:pPr>
      <w:numPr>
        <w:ilvl w:val="1"/>
      </w:numPr>
    </w:pPr>
  </w:style>
  <w:style w:type="paragraph" w:customStyle="1" w:styleId="TLTAppendixText3">
    <w:name w:val="TLT Appendix Text 3"/>
    <w:basedOn w:val="TLTLevel3"/>
    <w:next w:val="TLTBodyText3"/>
    <w:pPr>
      <w:numPr>
        <w:numId w:val="17"/>
      </w:numPr>
    </w:pPr>
  </w:style>
  <w:style w:type="paragraph" w:customStyle="1" w:styleId="TLTAppendixText4">
    <w:name w:val="TLT Appendix Text 4"/>
    <w:basedOn w:val="TLTLevel4"/>
    <w:next w:val="TLTBodyText4"/>
    <w:pPr>
      <w:numPr>
        <w:numId w:val="17"/>
      </w:numPr>
    </w:pPr>
  </w:style>
  <w:style w:type="paragraph" w:customStyle="1" w:styleId="TLTAppendixText5">
    <w:name w:val="TLT Appendix Text 5"/>
    <w:basedOn w:val="TLTLevel5"/>
    <w:next w:val="TLTBodyText5"/>
    <w:pPr>
      <w:numPr>
        <w:numId w:val="17"/>
      </w:numPr>
    </w:pPr>
  </w:style>
  <w:style w:type="paragraph" w:customStyle="1" w:styleId="TLTBlankDocumentTitle">
    <w:name w:val="TLT Blank Document Title"/>
    <w:basedOn w:val="Normal"/>
    <w:next w:val="TLTBodyText"/>
    <w:pPr>
      <w:spacing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BodyText">
    <w:name w:val="TLT Body Text"/>
    <w:basedOn w:val="Normal"/>
    <w:link w:val="TLTBodyTextChar"/>
    <w:qFormat/>
    <w:p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BodyText1">
    <w:name w:val="TLT Body Text 1"/>
    <w:basedOn w:val="TLTBodyText"/>
    <w:pPr>
      <w:ind w:left="720"/>
    </w:pPr>
  </w:style>
  <w:style w:type="paragraph" w:customStyle="1" w:styleId="TLTBodyText2">
    <w:name w:val="TLT Body Text 2"/>
    <w:basedOn w:val="TLTBodyText1"/>
  </w:style>
  <w:style w:type="paragraph" w:customStyle="1" w:styleId="TLTBodyText3">
    <w:name w:val="TLT Body Text 3"/>
    <w:basedOn w:val="TLTBodyText2"/>
    <w:pPr>
      <w:ind w:left="1803"/>
    </w:pPr>
  </w:style>
  <w:style w:type="paragraph" w:customStyle="1" w:styleId="TLTBodyText4">
    <w:name w:val="TLT Body Text 4"/>
    <w:basedOn w:val="TLTBodyText3"/>
  </w:style>
  <w:style w:type="paragraph" w:customStyle="1" w:styleId="TLTBodyText5">
    <w:name w:val="TLT Body Text 5"/>
    <w:basedOn w:val="TLTBodyText4"/>
    <w:pPr>
      <w:ind w:left="2523"/>
    </w:pPr>
  </w:style>
  <w:style w:type="paragraph" w:customStyle="1" w:styleId="TLTBodyTextBold">
    <w:name w:val="TLT Body Text Bold"/>
    <w:basedOn w:val="Normal"/>
    <w:next w:val="TLTBodyText"/>
    <w:link w:val="TLTBodyTextBoldChar"/>
    <w:qFormat/>
    <w:pPr>
      <w:spacing w:before="100" w:after="200"/>
    </w:pPr>
    <w:rPr>
      <w:rFonts w:eastAsia="Times New Roman" w:cs="Times New Roman"/>
      <w:b/>
      <w:szCs w:val="24"/>
      <w:lang w:eastAsia="en-GB"/>
    </w:rPr>
  </w:style>
  <w:style w:type="character" w:customStyle="1" w:styleId="TLTBodyTextBoldChar">
    <w:name w:val="TLT Body Text Bold Char"/>
    <w:basedOn w:val="DefaultParagraphFont"/>
    <w:link w:val="TLTBodyTextBold"/>
    <w:rPr>
      <w:rFonts w:eastAsia="Times New Roman" w:cs="Times New Roman"/>
      <w:b/>
      <w:szCs w:val="24"/>
      <w:lang w:eastAsia="en-GB"/>
    </w:rPr>
  </w:style>
  <w:style w:type="paragraph" w:customStyle="1" w:styleId="TLTBulletsBody">
    <w:name w:val="TLT Bullets Body"/>
    <w:basedOn w:val="TLTBodyText"/>
    <w:pPr>
      <w:numPr>
        <w:numId w:val="16"/>
      </w:numPr>
    </w:pPr>
  </w:style>
  <w:style w:type="paragraph" w:customStyle="1" w:styleId="TLTBulletsLevel1">
    <w:name w:val="TLT Bullets Level 1"/>
    <w:basedOn w:val="TLTBodyText1"/>
    <w:pPr>
      <w:numPr>
        <w:ilvl w:val="1"/>
        <w:numId w:val="16"/>
      </w:numPr>
      <w:tabs>
        <w:tab w:val="left" w:pos="1797"/>
      </w:tabs>
    </w:pPr>
  </w:style>
  <w:style w:type="paragraph" w:customStyle="1" w:styleId="TLTCentered">
    <w:name w:val="TLT Centered"/>
    <w:basedOn w:val="Normal"/>
    <w:next w:val="TLTBodyText"/>
    <w:pPr>
      <w:spacing w:before="100" w:after="2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">
    <w:name w:val="TLT Centre"/>
    <w:basedOn w:val="Normal"/>
    <w:next w:val="TLTCourtParties"/>
    <w:pPr>
      <w:spacing w:before="100" w:after="600"/>
      <w:jc w:val="center"/>
    </w:pPr>
    <w:rPr>
      <w:rFonts w:eastAsia="Times New Roman" w:cs="Times New Roman"/>
      <w:szCs w:val="24"/>
      <w:lang w:eastAsia="en-GB"/>
    </w:rPr>
  </w:style>
  <w:style w:type="paragraph" w:customStyle="1" w:styleId="TLTCentreBack">
    <w:name w:val="TLT Centre Back"/>
    <w:basedOn w:val="Normal"/>
    <w:next w:val="TLTCourtPartiesBack"/>
    <w:pPr>
      <w:spacing w:before="100" w:after="600"/>
    </w:pPr>
    <w:rPr>
      <w:rFonts w:eastAsia="Times New Roman" w:cs="Times New Roman"/>
      <w:szCs w:val="24"/>
      <w:lang w:eastAsia="en-GB"/>
    </w:rPr>
  </w:style>
  <w:style w:type="paragraph" w:customStyle="1" w:styleId="TLTContentsHeading">
    <w:name w:val="TLT Contents Heading"/>
    <w:basedOn w:val="Normal"/>
    <w:next w:val="TLTContentsSubHeading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ContentsSubHeading">
    <w:name w:val="TLT Contents Sub Heading"/>
    <w:basedOn w:val="Normal"/>
    <w:next w:val="TLTBodyText"/>
    <w:pPr>
      <w:spacing w:before="400" w:after="200"/>
    </w:pPr>
    <w:rPr>
      <w:rFonts w:eastAsia="Times New Roman" w:cs="Times New Roman"/>
      <w:b/>
      <w:szCs w:val="24"/>
      <w:lang w:eastAsia="en-GB"/>
    </w:rPr>
  </w:style>
  <w:style w:type="paragraph" w:customStyle="1" w:styleId="TLTCourtDetails">
    <w:name w:val="TLT Court Details"/>
    <w:basedOn w:val="Normal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Heading">
    <w:name w:val="TLT Court Heading"/>
    <w:basedOn w:val="Normal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">
    <w:name w:val="TLT Court Parties"/>
    <w:basedOn w:val="Normal"/>
    <w:next w:val="TLTLitigant"/>
    <w:pPr>
      <w:spacing w:before="100" w:after="200"/>
      <w:jc w:val="center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PartiesBack">
    <w:name w:val="TLT Court Parties Back"/>
    <w:basedOn w:val="Normal"/>
    <w:next w:val="TLTLitigant"/>
    <w:pPr>
      <w:spacing w:before="100" w:after="200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urtReference">
    <w:name w:val="TLT Court Reference"/>
    <w:basedOn w:val="Normal"/>
    <w:next w:val="TLTCourtDetails"/>
    <w:pPr>
      <w:spacing w:before="100" w:after="200"/>
      <w:jc w:val="right"/>
    </w:pPr>
    <w:rPr>
      <w:rFonts w:eastAsia="Times New Roman" w:cs="Times New Roman"/>
      <w:b/>
      <w:caps/>
      <w:szCs w:val="24"/>
      <w:lang w:eastAsia="en-GB"/>
    </w:rPr>
  </w:style>
  <w:style w:type="paragraph" w:customStyle="1" w:styleId="TLTCoverDetails">
    <w:name w:val="TLT Cover Details"/>
    <w:basedOn w:val="Normal"/>
    <w:pPr>
      <w:tabs>
        <w:tab w:val="left" w:pos="3612"/>
      </w:tabs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finitionList">
    <w:name w:val="TLT Definition List"/>
    <w:basedOn w:val="Normal"/>
    <w:pPr>
      <w:numPr>
        <w:numId w:val="14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Delivery">
    <w:name w:val="TLT Delivery"/>
    <w:basedOn w:val="Normal"/>
    <w:pPr>
      <w:spacing w:before="600" w:after="400"/>
    </w:pPr>
    <w:rPr>
      <w:rFonts w:eastAsia="Times New Roman" w:cs="Times New Roman"/>
      <w:b/>
      <w:szCs w:val="24"/>
      <w:lang w:eastAsia="en-GB"/>
    </w:rPr>
  </w:style>
  <w:style w:type="paragraph" w:customStyle="1" w:styleId="TLTDetails">
    <w:name w:val="TLT Details"/>
    <w:basedOn w:val="Normal"/>
    <w:pPr>
      <w:spacing w:line="300" w:lineRule="exact"/>
    </w:pPr>
    <w:rPr>
      <w:rFonts w:eastAsia="Times New Roman" w:cs="Times New Roman"/>
      <w:szCs w:val="24"/>
      <w:lang w:eastAsia="en-GB"/>
    </w:rPr>
  </w:style>
  <w:style w:type="paragraph" w:customStyle="1" w:styleId="TLTDocRef">
    <w:name w:val="TLT Doc Ref"/>
    <w:basedOn w:val="Normal"/>
    <w:rPr>
      <w:rFonts w:eastAsia="Times New Roman" w:cs="Times New Roman"/>
      <w:sz w:val="12"/>
      <w:szCs w:val="24"/>
      <w:lang w:eastAsia="en-GB"/>
    </w:rPr>
  </w:style>
  <w:style w:type="paragraph" w:customStyle="1" w:styleId="TLTEnc">
    <w:name w:val="TLT Enc"/>
    <w:basedOn w:val="Normal"/>
    <w:pPr>
      <w:tabs>
        <w:tab w:val="left" w:pos="720"/>
      </w:tabs>
    </w:pPr>
    <w:rPr>
      <w:rFonts w:eastAsia="Times New Roman" w:cs="Times New Roman"/>
      <w:szCs w:val="24"/>
      <w:lang w:eastAsia="en-GB"/>
    </w:rPr>
  </w:style>
  <w:style w:type="paragraph" w:customStyle="1" w:styleId="TLTExecution">
    <w:name w:val="TLT Execution"/>
    <w:basedOn w:val="Normal"/>
    <w:pPr>
      <w:spacing w:before="100" w:after="200"/>
    </w:pPr>
    <w:rPr>
      <w:rFonts w:eastAsia="Times New Roman" w:cs="Times New Roman"/>
      <w:sz w:val="16"/>
      <w:szCs w:val="24"/>
      <w:lang w:eastAsia="en-GB"/>
    </w:rPr>
  </w:style>
  <w:style w:type="paragraph" w:customStyle="1" w:styleId="TLTFAO">
    <w:name w:val="TLT FAO"/>
    <w:basedOn w:val="TLTAddress"/>
    <w:rPr>
      <w:b/>
    </w:rPr>
  </w:style>
  <w:style w:type="paragraph" w:customStyle="1" w:styleId="TLTFaxStatus">
    <w:name w:val="TLT Fax Status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FaxSubject">
    <w:name w:val="TLT Fax Subject"/>
    <w:basedOn w:val="Normal"/>
    <w:pPr>
      <w:spacing w:before="200"/>
    </w:pPr>
    <w:rPr>
      <w:rFonts w:eastAsia="Times New Roman" w:cs="Times New Roman"/>
      <w:b/>
      <w:szCs w:val="24"/>
      <w:lang w:eastAsia="en-GB"/>
    </w:rPr>
  </w:style>
  <w:style w:type="paragraph" w:customStyle="1" w:styleId="TLTHeading1">
    <w:name w:val="TLT Heading 1"/>
    <w:basedOn w:val="Normal"/>
    <w:next w:val="TLTBodyText"/>
    <w:pPr>
      <w:keepNext/>
      <w:spacing w:before="300" w:after="100"/>
    </w:pPr>
    <w:rPr>
      <w:rFonts w:eastAsia="Times New Roman" w:cs="Times New Roman"/>
      <w:b/>
      <w:szCs w:val="24"/>
      <w:lang w:eastAsia="en-GB"/>
    </w:rPr>
  </w:style>
  <w:style w:type="paragraph" w:customStyle="1" w:styleId="TLTHeading2">
    <w:name w:val="TLT Heading 2"/>
    <w:basedOn w:val="Normal"/>
    <w:next w:val="TLTBodyText"/>
    <w:pPr>
      <w:keepNext/>
      <w:spacing w:before="100" w:after="200"/>
    </w:pPr>
    <w:rPr>
      <w:rFonts w:eastAsia="Times New Roman" w:cs="Times New Roman"/>
      <w:i/>
      <w:szCs w:val="24"/>
      <w:lang w:eastAsia="en-GB"/>
    </w:rPr>
  </w:style>
  <w:style w:type="paragraph" w:customStyle="1" w:styleId="TLTLegalReportHeading">
    <w:name w:val="TLT Legal Report Heading"/>
    <w:basedOn w:val="Normal"/>
    <w:next w:val="TLTBodyText"/>
    <w:pPr>
      <w:spacing w:before="100" w:after="2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LetterTitle">
    <w:name w:val="TLT Letter Title"/>
    <w:basedOn w:val="Normal"/>
    <w:next w:val="TLTBodyText"/>
    <w:pPr>
      <w:spacing w:before="100" w:after="200"/>
    </w:pPr>
    <w:rPr>
      <w:rFonts w:eastAsia="Times New Roman" w:cs="Times New Roman"/>
      <w:b/>
      <w:szCs w:val="24"/>
      <w:lang w:eastAsia="en-GB"/>
    </w:rPr>
  </w:style>
  <w:style w:type="paragraph" w:customStyle="1" w:styleId="TLTLevel1">
    <w:name w:val="TLT Level 1"/>
    <w:basedOn w:val="TLTBodyText"/>
    <w:next w:val="TLTBodyText1"/>
    <w:qFormat/>
    <w:pPr>
      <w:numPr>
        <w:numId w:val="13"/>
      </w:numPr>
      <w:tabs>
        <w:tab w:val="left" w:pos="720"/>
      </w:tabs>
    </w:pPr>
  </w:style>
  <w:style w:type="paragraph" w:customStyle="1" w:styleId="TLTLevel2">
    <w:name w:val="TLT Level 2"/>
    <w:basedOn w:val="TLTLevel1"/>
    <w:next w:val="TLTBodyText2"/>
    <w:pPr>
      <w:numPr>
        <w:ilvl w:val="1"/>
      </w:numPr>
    </w:pPr>
  </w:style>
  <w:style w:type="paragraph" w:customStyle="1" w:styleId="TLTLevel3">
    <w:name w:val="TLT Level 3"/>
    <w:basedOn w:val="TLTLevel2"/>
    <w:next w:val="TLTBodyText3"/>
    <w:pPr>
      <w:numPr>
        <w:ilvl w:val="2"/>
      </w:numPr>
      <w:tabs>
        <w:tab w:val="left" w:pos="1803"/>
      </w:tabs>
    </w:pPr>
  </w:style>
  <w:style w:type="paragraph" w:customStyle="1" w:styleId="TLTLevel4">
    <w:name w:val="TLT Level 4"/>
    <w:basedOn w:val="TLTLevel3"/>
    <w:next w:val="TLTBodyText4"/>
    <w:pPr>
      <w:numPr>
        <w:ilvl w:val="3"/>
      </w:numPr>
    </w:pPr>
  </w:style>
  <w:style w:type="paragraph" w:customStyle="1" w:styleId="TLTLevel5">
    <w:name w:val="TLT Level 5"/>
    <w:basedOn w:val="TLTLevel4"/>
    <w:next w:val="TLTBodyText5"/>
    <w:pPr>
      <w:numPr>
        <w:ilvl w:val="4"/>
      </w:numPr>
      <w:tabs>
        <w:tab w:val="left" w:pos="2523"/>
      </w:tabs>
    </w:pPr>
  </w:style>
  <w:style w:type="paragraph" w:customStyle="1" w:styleId="TLTLitigant">
    <w:name w:val="TLT Litigant"/>
    <w:basedOn w:val="Normal"/>
    <w:next w:val="TLTCentre"/>
    <w:pPr>
      <w:spacing w:before="100" w:after="200"/>
      <w:jc w:val="right"/>
    </w:pPr>
    <w:rPr>
      <w:rFonts w:eastAsia="Times New Roman" w:cs="Times New Roman"/>
      <w:szCs w:val="24"/>
      <w:lang w:eastAsia="en-GB"/>
    </w:rPr>
  </w:style>
  <w:style w:type="paragraph" w:customStyle="1" w:styleId="TLTLLP">
    <w:name w:val="TLT LLP"/>
    <w:basedOn w:val="Normal"/>
    <w:next w:val="TLTEnc"/>
    <w:pPr>
      <w:spacing w:after="200"/>
    </w:pPr>
    <w:rPr>
      <w:rFonts w:eastAsia="Times New Roman" w:cs="Times New Roman"/>
      <w:szCs w:val="24"/>
      <w:lang w:eastAsia="en-GB"/>
    </w:rPr>
  </w:style>
  <w:style w:type="paragraph" w:customStyle="1" w:styleId="TLTLPC">
    <w:name w:val="TLT LPC"/>
    <w:basedOn w:val="Normal"/>
    <w:next w:val="TLTBodyText"/>
    <w:pPr>
      <w:spacing w:before="100" w:after="200"/>
    </w:pPr>
    <w:rPr>
      <w:rFonts w:eastAsia="Times New Roman" w:cs="Times New Roman"/>
      <w:sz w:val="24"/>
      <w:szCs w:val="24"/>
      <w:lang w:eastAsia="en-GB"/>
    </w:rPr>
  </w:style>
  <w:style w:type="paragraph" w:customStyle="1" w:styleId="TLTPartHeading">
    <w:name w:val="TLT Part Heading"/>
    <w:basedOn w:val="Normal"/>
    <w:next w:val="TLTBodyText"/>
    <w:pPr>
      <w:spacing w:after="200"/>
    </w:pPr>
    <w:rPr>
      <w:rFonts w:eastAsia="Times New Roman" w:cs="Times New Roman"/>
      <w:b/>
      <w:szCs w:val="24"/>
      <w:lang w:eastAsia="en-GB"/>
    </w:rPr>
  </w:style>
  <w:style w:type="paragraph" w:customStyle="1" w:styleId="TLTPartiesBodyText">
    <w:name w:val="TLT Parties Body Text"/>
    <w:basedOn w:val="Normal"/>
    <w:pPr>
      <w:numPr>
        <w:numId w:val="1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PartiesFrontSheet">
    <w:name w:val="TLT Parties Front Sheet"/>
    <w:basedOn w:val="Normal"/>
    <w:pPr>
      <w:numPr>
        <w:numId w:val="2"/>
      </w:numPr>
    </w:pPr>
    <w:rPr>
      <w:rFonts w:eastAsia="Times New Roman" w:cs="Times New Roman"/>
      <w:szCs w:val="24"/>
      <w:lang w:eastAsia="en-GB"/>
    </w:rPr>
  </w:style>
  <w:style w:type="paragraph" w:customStyle="1" w:styleId="TLTRecitals">
    <w:name w:val="TLT Recitals"/>
    <w:basedOn w:val="Normal"/>
    <w:pPr>
      <w:numPr>
        <w:numId w:val="3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Reference">
    <w:name w:val="TLT Reference"/>
    <w:basedOn w:val="Normal"/>
    <w:pPr>
      <w:tabs>
        <w:tab w:val="left" w:pos="1077"/>
      </w:tabs>
    </w:pPr>
    <w:rPr>
      <w:rFonts w:eastAsia="Times New Roman" w:cs="Times New Roman"/>
      <w:sz w:val="16"/>
      <w:szCs w:val="24"/>
      <w:lang w:eastAsia="en-GB"/>
    </w:rPr>
  </w:style>
  <w:style w:type="paragraph" w:customStyle="1" w:styleId="TLTScheduleHeading">
    <w:name w:val="TLT Schedule Heading"/>
    <w:basedOn w:val="Normal"/>
    <w:next w:val="TLTScheduleSubHeading"/>
    <w:pPr>
      <w:numPr>
        <w:numId w:val="10"/>
      </w:num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SubHeading">
    <w:name w:val="TLT Schedule Sub Heading"/>
    <w:basedOn w:val="Normal"/>
    <w:next w:val="TLTPartHeading"/>
    <w:pPr>
      <w:spacing w:before="100" w:after="300"/>
      <w:jc w:val="center"/>
    </w:pPr>
    <w:rPr>
      <w:rFonts w:eastAsia="Times New Roman" w:cs="Times New Roman"/>
      <w:b/>
      <w:szCs w:val="24"/>
      <w:lang w:eastAsia="en-GB"/>
    </w:rPr>
  </w:style>
  <w:style w:type="paragraph" w:customStyle="1" w:styleId="TLTScheduleText1">
    <w:name w:val="TLT Schedule Text 1"/>
    <w:basedOn w:val="Normal"/>
    <w:next w:val="TLTBodyText1"/>
    <w:pPr>
      <w:numPr>
        <w:numId w:val="18"/>
      </w:numPr>
      <w:spacing w:before="100" w:after="200"/>
    </w:pPr>
    <w:rPr>
      <w:rFonts w:eastAsia="Times New Roman" w:cs="Times New Roman"/>
      <w:szCs w:val="24"/>
      <w:lang w:eastAsia="en-GB"/>
    </w:rPr>
  </w:style>
  <w:style w:type="paragraph" w:customStyle="1" w:styleId="TLTScheduleText2">
    <w:name w:val="TLT Schedule Text 2"/>
    <w:basedOn w:val="TLTScheduleText1"/>
    <w:next w:val="TLTBodyText2"/>
    <w:pPr>
      <w:numPr>
        <w:ilvl w:val="1"/>
      </w:numPr>
    </w:pPr>
  </w:style>
  <w:style w:type="paragraph" w:customStyle="1" w:styleId="TLTScheduleText3">
    <w:name w:val="TLT Schedule Text 3"/>
    <w:basedOn w:val="TLTLevel3"/>
    <w:next w:val="TLTBodyText3"/>
    <w:pPr>
      <w:numPr>
        <w:numId w:val="18"/>
      </w:numPr>
    </w:pPr>
  </w:style>
  <w:style w:type="paragraph" w:customStyle="1" w:styleId="TLTScheduleText4">
    <w:name w:val="TLT Schedule Text 4"/>
    <w:basedOn w:val="TLTLevel4"/>
    <w:next w:val="TLTBodyText4"/>
    <w:pPr>
      <w:numPr>
        <w:numId w:val="18"/>
      </w:numPr>
    </w:pPr>
  </w:style>
  <w:style w:type="paragraph" w:customStyle="1" w:styleId="TLTScheduleText5">
    <w:name w:val="TLT Schedule Text 5"/>
    <w:basedOn w:val="TLTLevel5"/>
    <w:next w:val="TLTBodyText5"/>
    <w:pPr>
      <w:numPr>
        <w:numId w:val="18"/>
      </w:numPr>
    </w:pPr>
  </w:style>
  <w:style w:type="paragraph" w:customStyle="1" w:styleId="TLTSetInformation">
    <w:name w:val="TLT Set Information"/>
    <w:basedOn w:val="Normal"/>
    <w:pPr>
      <w:spacing w:line="300" w:lineRule="exact"/>
    </w:pPr>
    <w:rPr>
      <w:rFonts w:eastAsia="Times New Roman" w:cs="Times New Roman"/>
      <w:sz w:val="16"/>
      <w:szCs w:val="24"/>
      <w:lang w:eastAsia="en-GB"/>
    </w:rPr>
  </w:style>
  <w:style w:type="paragraph" w:customStyle="1" w:styleId="TLTSignature">
    <w:name w:val="TLT Signature"/>
    <w:basedOn w:val="Normal"/>
    <w:rPr>
      <w:rFonts w:eastAsia="Times New Roman" w:cs="Times New Roman"/>
      <w:b/>
      <w:szCs w:val="24"/>
      <w:lang w:eastAsia="en-GB"/>
    </w:rPr>
  </w:style>
  <w:style w:type="paragraph" w:customStyle="1" w:styleId="TLTStatus">
    <w:name w:val="TLT Status"/>
    <w:basedOn w:val="Normal"/>
    <w:next w:val="TLTBodyText"/>
    <w:pPr>
      <w:spacing w:before="200" w:after="400"/>
    </w:pPr>
    <w:rPr>
      <w:rFonts w:eastAsia="Times New Roman" w:cs="Times New Roman"/>
      <w:b/>
      <w:szCs w:val="24"/>
      <w:lang w:eastAsia="en-GB"/>
    </w:rPr>
  </w:style>
  <w:style w:type="paragraph" w:customStyle="1" w:styleId="TLTSubTitle">
    <w:name w:val="TLT Sub Title"/>
    <w:basedOn w:val="Normal"/>
    <w:pPr>
      <w:spacing w:before="100" w:after="200"/>
    </w:pPr>
    <w:rPr>
      <w:rFonts w:eastAsia="Times New Roman" w:cs="Times New Roman"/>
      <w:sz w:val="28"/>
      <w:szCs w:val="24"/>
      <w:lang w:eastAsia="en-GB"/>
    </w:rPr>
  </w:style>
  <w:style w:type="paragraph" w:customStyle="1" w:styleId="TLTSubject">
    <w:name w:val="TLT Subject"/>
    <w:basedOn w:val="Normal"/>
    <w:pPr>
      <w:spacing w:before="400" w:after="300"/>
    </w:pPr>
    <w:rPr>
      <w:rFonts w:eastAsia="Times New Roman" w:cs="Times New Roman"/>
      <w:b/>
      <w:szCs w:val="24"/>
      <w:lang w:eastAsia="en-GB"/>
    </w:rPr>
  </w:style>
  <w:style w:type="paragraph" w:customStyle="1" w:styleId="TLTTemplate">
    <w:name w:val="TLT Template"/>
    <w:basedOn w:val="Normal"/>
    <w:pPr>
      <w:spacing w:before="500" w:after="400"/>
    </w:pPr>
    <w:rPr>
      <w:rFonts w:eastAsia="Times New Roman" w:cs="Times New Roman"/>
      <w:b/>
      <w:sz w:val="36"/>
      <w:szCs w:val="24"/>
      <w:lang w:eastAsia="en-GB"/>
    </w:rPr>
  </w:style>
  <w:style w:type="paragraph" w:customStyle="1" w:styleId="TLTTitle">
    <w:name w:val="TLT Title"/>
    <w:basedOn w:val="Normal"/>
    <w:pPr>
      <w:spacing w:before="100" w:after="200"/>
    </w:pPr>
    <w:rPr>
      <w:rFonts w:eastAsia="Times New Roman" w:cs="Times New Roman"/>
      <w:b/>
      <w:sz w:val="36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pPr>
      <w:numPr>
        <w:numId w:val="4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paragraph" w:styleId="TOC3">
    <w:name w:val="toc 3"/>
    <w:basedOn w:val="Normal"/>
    <w:next w:val="Normal"/>
    <w:autoRedefine/>
    <w:uiPriority w:val="39"/>
    <w:unhideWhenUsed/>
    <w:pPr>
      <w:numPr>
        <w:numId w:val="5"/>
      </w:numPr>
      <w:tabs>
        <w:tab w:val="right" w:leader="dot" w:pos="8448"/>
      </w:tabs>
    </w:pPr>
    <w:rPr>
      <w:rFonts w:eastAsia="Times New Roman" w:cs="Times New Roman"/>
      <w:szCs w:val="24"/>
      <w:lang w:eastAsia="en-GB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DarkList-Accent1">
    <w:name w:val="Dark List Accent 1"/>
    <w:basedOn w:val="TableNormal"/>
    <w:uiPriority w:val="70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7233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64152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11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01A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1A2E" w:themeFill="accent1" w:themeFillShade="BF"/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Ind w:w="0" w:type="dxa"/>
      <w:tblBorders>
        <w:top w:val="single" w:sz="8" w:space="0" w:color="97233F" w:themeColor="accent1"/>
        <w:left w:val="single" w:sz="8" w:space="0" w:color="97233F" w:themeColor="accent1"/>
        <w:bottom w:val="single" w:sz="8" w:space="0" w:color="97233F" w:themeColor="accent1"/>
        <w:right w:val="single" w:sz="8" w:space="0" w:color="97233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7233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  <w:tblStylePr w:type="band1Horz">
      <w:tblPr/>
      <w:tcPr>
        <w:tcBorders>
          <w:top w:val="single" w:sz="8" w:space="0" w:color="97233F" w:themeColor="accent1"/>
          <w:left w:val="single" w:sz="8" w:space="0" w:color="97233F" w:themeColor="accent1"/>
          <w:bottom w:val="single" w:sz="8" w:space="0" w:color="97233F" w:themeColor="accent1"/>
          <w:right w:val="single" w:sz="8" w:space="0" w:color="97233F" w:themeColor="accent1"/>
        </w:tcBorders>
      </w:tcPr>
    </w:tblStylePr>
  </w:style>
  <w:style w:type="table" w:styleId="ColorfulShading">
    <w:name w:val="Colorful Shading"/>
    <w:basedOn w:val="TableNormal"/>
    <w:uiPriority w:val="71"/>
    <w:rPr>
      <w:color w:val="264152" w:themeColor="text1"/>
    </w:rPr>
    <w:tblPr>
      <w:tblStyleRowBandSize w:val="1"/>
      <w:tblStyleColBandSize w:val="1"/>
      <w:tblInd w:w="0" w:type="dxa"/>
      <w:tblBorders>
        <w:top w:val="single" w:sz="24" w:space="0" w:color="FD6631" w:themeColor="accent2"/>
        <w:left w:val="single" w:sz="4" w:space="0" w:color="264152" w:themeColor="text1"/>
        <w:bottom w:val="single" w:sz="4" w:space="0" w:color="264152" w:themeColor="text1"/>
        <w:right w:val="single" w:sz="4" w:space="0" w:color="264152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4ED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66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62631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62631" w:themeColor="text1" w:themeShade="99"/>
          <w:insideV w:val="nil"/>
        </w:tcBorders>
        <w:shd w:val="clear" w:color="auto" w:fill="162631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03D" w:themeFill="text1" w:themeFillShade="BF"/>
      </w:tcPr>
    </w:tblStylePr>
    <w:tblStylePr w:type="band1Vert">
      <w:tblPr/>
      <w:tcPr>
        <w:shd w:val="clear" w:color="auto" w:fill="94B7CD" w:themeFill="text1" w:themeFillTint="66"/>
      </w:tcPr>
    </w:tblStylePr>
    <w:tblStylePr w:type="band1Horz">
      <w:tblPr/>
      <w:tcPr>
        <w:shd w:val="clear" w:color="auto" w:fill="7AA5C1" w:themeFill="text1" w:themeFillTint="7F"/>
      </w:tcPr>
    </w:tblStylePr>
    <w:tblStylePr w:type="neCell">
      <w:rPr>
        <w:color w:val="264152" w:themeColor="text1"/>
      </w:rPr>
    </w:tblStylePr>
    <w:tblStylePr w:type="nwCell">
      <w:rPr>
        <w:color w:val="264152" w:themeColor="text1"/>
      </w:rPr>
    </w:tblStylePr>
  </w:style>
  <w:style w:type="table" w:styleId="MediumGrid2-Accent3">
    <w:name w:val="Medium Grid 2 Accent 3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Ind w:w="0" w:type="dxa"/>
      <w:tblBorders>
        <w:top w:val="single" w:sz="8" w:space="0" w:color="5BBBB7" w:themeColor="accent3"/>
        <w:left w:val="single" w:sz="8" w:space="0" w:color="5BBBB7" w:themeColor="accent3"/>
        <w:bottom w:val="single" w:sz="8" w:space="0" w:color="5BBBB7" w:themeColor="accent3"/>
        <w:right w:val="single" w:sz="8" w:space="0" w:color="5BBBB7" w:themeColor="accent3"/>
        <w:insideH w:val="single" w:sz="8" w:space="0" w:color="5BBBB7" w:themeColor="accent3"/>
        <w:insideV w:val="single" w:sz="8" w:space="0" w:color="5BBBB7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EED" w:themeFill="accent3" w:themeFillTint="3F"/>
    </w:tcPr>
    <w:tblStylePr w:type="firstRow">
      <w:rPr>
        <w:b/>
        <w:bCs/>
        <w:color w:val="264152" w:themeColor="text1"/>
      </w:rPr>
      <w:tblPr/>
      <w:tcPr>
        <w:shd w:val="clear" w:color="auto" w:fill="EEF8F7" w:themeFill="accent3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1F0" w:themeFill="accent3" w:themeFillTint="33"/>
      </w:tcPr>
    </w:tblStylePr>
    <w:tblStylePr w:type="band1Vert">
      <w:tblPr/>
      <w:tcPr>
        <w:shd w:val="clear" w:color="auto" w:fill="ADDDDB" w:themeFill="accent3" w:themeFillTint="7F"/>
      </w:tcPr>
    </w:tblStylePr>
    <w:tblStylePr w:type="band1Horz">
      <w:tblPr/>
      <w:tcPr>
        <w:tcBorders>
          <w:insideH w:val="single" w:sz="6" w:space="0" w:color="5BBBB7" w:themeColor="accent3"/>
          <w:insideV w:val="single" w:sz="6" w:space="0" w:color="5BBBB7" w:themeColor="accent3"/>
        </w:tcBorders>
        <w:shd w:val="clear" w:color="auto" w:fill="ADDDD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Pr>
      <w:rFonts w:asciiTheme="majorHAnsi" w:eastAsiaTheme="majorEastAsia" w:hAnsiTheme="majorHAnsi" w:cstheme="majorBidi"/>
      <w:color w:val="264152" w:themeColor="text1"/>
    </w:rPr>
    <w:tblPr>
      <w:tblStyleRowBandSize w:val="1"/>
      <w:tblStyleColBandSize w:val="1"/>
      <w:tblInd w:w="0" w:type="dxa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BCBE" w:themeFill="accent6" w:themeFillTint="3F"/>
    </w:tcPr>
    <w:tblStylePr w:type="firstRow">
      <w:rPr>
        <w:b/>
        <w:bCs/>
        <w:color w:val="264152" w:themeColor="text1"/>
      </w:rPr>
      <w:tblPr/>
      <w:tcPr>
        <w:shd w:val="clear" w:color="auto" w:fill="F1E4E5" w:themeFill="accent6" w:themeFillTint="19"/>
      </w:tcPr>
    </w:tblStylePr>
    <w:tblStylePr w:type="lastRow">
      <w:rPr>
        <w:b/>
        <w:bCs/>
        <w:color w:val="264152" w:themeColor="text1"/>
      </w:rPr>
      <w:tblPr/>
      <w:tcPr>
        <w:tcBorders>
          <w:top w:val="single" w:sz="12" w:space="0" w:color="264152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64152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9CA" w:themeFill="accent6" w:themeFillTint="33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tcBorders>
          <w:insideH w:val="single" w:sz="6" w:space="0" w:color="452325" w:themeColor="accent6"/>
          <w:insideV w:val="single" w:sz="6" w:space="0" w:color="452325" w:themeColor="accent6"/>
        </w:tcBorders>
        <w:shd w:val="clear" w:color="auto" w:fill="BB787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Shading">
    <w:name w:val="Light Shading"/>
    <w:basedOn w:val="TableNormal"/>
    <w:uiPriority w:val="60"/>
    <w:rPr>
      <w:color w:val="1C303D" w:themeColor="text1" w:themeShade="BF"/>
    </w:rPr>
    <w:tblPr>
      <w:tblStyleRowBandSize w:val="1"/>
      <w:tblStyleColBandSize w:val="1"/>
      <w:tblInd w:w="0" w:type="dxa"/>
      <w:tblBorders>
        <w:top w:val="single" w:sz="8" w:space="0" w:color="264152" w:themeColor="text1"/>
        <w:bottom w:val="single" w:sz="8" w:space="0" w:color="264152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64152" w:themeColor="text1"/>
          <w:left w:val="nil"/>
          <w:bottom w:val="single" w:sz="8" w:space="0" w:color="264152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CD2E0" w:themeFill="text1" w:themeFillTint="3F"/>
      </w:tcPr>
    </w:tblStylePr>
  </w:style>
  <w:style w:type="table" w:styleId="ColorfulGrid-Accent6">
    <w:name w:val="Colorful Grid Accent 6"/>
    <w:basedOn w:val="TableNormal"/>
    <w:uiPriority w:val="73"/>
    <w:rPr>
      <w:color w:val="264152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C9CA" w:themeFill="accent6" w:themeFillTint="33"/>
    </w:tcPr>
    <w:tblStylePr w:type="firstRow">
      <w:rPr>
        <w:b/>
        <w:bCs/>
      </w:rPr>
      <w:tblPr/>
      <w:tcPr>
        <w:shd w:val="clear" w:color="auto" w:fill="C89396" w:themeFill="accent6" w:themeFillTint="66"/>
      </w:tcPr>
    </w:tblStylePr>
    <w:tblStylePr w:type="lastRow">
      <w:rPr>
        <w:b/>
        <w:bCs/>
        <w:color w:val="264152" w:themeColor="text1"/>
      </w:rPr>
      <w:tblPr/>
      <w:tcPr>
        <w:shd w:val="clear" w:color="auto" w:fill="C8939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31A1B" w:themeFill="accent6" w:themeFillShade="BF"/>
      </w:tcPr>
    </w:tblStylePr>
    <w:tblStylePr w:type="band1Vert">
      <w:tblPr/>
      <w:tcPr>
        <w:shd w:val="clear" w:color="auto" w:fill="BB787C" w:themeFill="accent6" w:themeFillTint="7F"/>
      </w:tcPr>
    </w:tblStylePr>
    <w:tblStylePr w:type="band1Horz">
      <w:tblPr/>
      <w:tcPr>
        <w:shd w:val="clear" w:color="auto" w:fill="BB787C" w:themeFill="accent6" w:themeFillTint="7F"/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Ind w:w="0" w:type="dxa"/>
      <w:tblBorders>
        <w:top w:val="single" w:sz="8" w:space="0" w:color="FD8C64" w:themeColor="accent2" w:themeTint="BF"/>
        <w:left w:val="single" w:sz="8" w:space="0" w:color="FD8C64" w:themeColor="accent2" w:themeTint="BF"/>
        <w:bottom w:val="single" w:sz="8" w:space="0" w:color="FD8C64" w:themeColor="accent2" w:themeTint="BF"/>
        <w:right w:val="single" w:sz="8" w:space="0" w:color="FD8C64" w:themeColor="accent2" w:themeTint="BF"/>
        <w:insideH w:val="single" w:sz="8" w:space="0" w:color="FD8C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  <w:shd w:val="clear" w:color="auto" w:fill="FD66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8C64" w:themeColor="accent2" w:themeTint="BF"/>
          <w:left w:val="single" w:sz="8" w:space="0" w:color="FD8C64" w:themeColor="accent2" w:themeTint="BF"/>
          <w:bottom w:val="single" w:sz="8" w:space="0" w:color="FD8C64" w:themeColor="accent2" w:themeTint="BF"/>
          <w:right w:val="single" w:sz="8" w:space="0" w:color="FD8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8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D8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5232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5232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Ind w:w="0" w:type="dxa"/>
      <w:tblBorders>
        <w:top w:val="single" w:sz="8" w:space="0" w:color="452325" w:themeColor="accent6"/>
        <w:left w:val="single" w:sz="8" w:space="0" w:color="452325" w:themeColor="accent6"/>
        <w:bottom w:val="single" w:sz="8" w:space="0" w:color="452325" w:themeColor="accent6"/>
        <w:right w:val="single" w:sz="8" w:space="0" w:color="452325" w:themeColor="accent6"/>
        <w:insideH w:val="single" w:sz="8" w:space="0" w:color="452325" w:themeColor="accent6"/>
        <w:insideV w:val="single" w:sz="8" w:space="0" w:color="452325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1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H w:val="nil"/>
          <w:insideV w:val="single" w:sz="8" w:space="0" w:color="45232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</w:tcPr>
    </w:tblStylePr>
    <w:tblStylePr w:type="band1Vert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</w:tcBorders>
        <w:shd w:val="clear" w:color="auto" w:fill="DDBCBE" w:themeFill="accent6" w:themeFillTint="3F"/>
      </w:tcPr>
    </w:tblStylePr>
    <w:tblStylePr w:type="band1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  <w:shd w:val="clear" w:color="auto" w:fill="DDBCBE" w:themeFill="accent6" w:themeFillTint="3F"/>
      </w:tcPr>
    </w:tblStylePr>
    <w:tblStylePr w:type="band2Horz">
      <w:tblPr/>
      <w:tcPr>
        <w:tcBorders>
          <w:top w:val="single" w:sz="8" w:space="0" w:color="452325" w:themeColor="accent6"/>
          <w:left w:val="single" w:sz="8" w:space="0" w:color="452325" w:themeColor="accent6"/>
          <w:bottom w:val="single" w:sz="8" w:space="0" w:color="452325" w:themeColor="accent6"/>
          <w:right w:val="single" w:sz="8" w:space="0" w:color="452325" w:themeColor="accent6"/>
          <w:insideV w:val="single" w:sz="8" w:space="0" w:color="452325" w:themeColor="accent6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numbering" w:customStyle="1" w:styleId="Level">
    <w:name w:val="Level"/>
    <w:uiPriority w:val="99"/>
    <w:pPr>
      <w:numPr>
        <w:numId w:val="6"/>
      </w:numPr>
    </w:pPr>
  </w:style>
  <w:style w:type="numbering" w:customStyle="1" w:styleId="Scheduletext">
    <w:name w:val="Schedule text"/>
    <w:uiPriority w:val="99"/>
    <w:pPr>
      <w:numPr>
        <w:numId w:val="7"/>
      </w:numPr>
    </w:pPr>
  </w:style>
  <w:style w:type="numbering" w:customStyle="1" w:styleId="Appendix">
    <w:name w:val="Appendix"/>
    <w:uiPriority w:val="99"/>
    <w:pPr>
      <w:numPr>
        <w:numId w:val="8"/>
      </w:numPr>
    </w:pPr>
  </w:style>
  <w:style w:type="numbering" w:customStyle="1" w:styleId="Appendixheading">
    <w:name w:val="Appendix heading"/>
    <w:uiPriority w:val="99"/>
    <w:pPr>
      <w:numPr>
        <w:numId w:val="9"/>
      </w:numPr>
    </w:pPr>
  </w:style>
  <w:style w:type="numbering" w:customStyle="1" w:styleId="Scheduleheading">
    <w:name w:val="Schedule heading"/>
    <w:uiPriority w:val="99"/>
    <w:pPr>
      <w:numPr>
        <w:numId w:val="10"/>
      </w:numPr>
    </w:pPr>
  </w:style>
  <w:style w:type="numbering" w:customStyle="1" w:styleId="Bullets">
    <w:name w:val="Bullets"/>
    <w:uiPriority w:val="99"/>
    <w:pPr>
      <w:numPr>
        <w:numId w:val="11"/>
      </w:numPr>
    </w:pPr>
  </w:style>
  <w:style w:type="paragraph" w:customStyle="1" w:styleId="TLTDefinitionListLevel1">
    <w:name w:val="TLT Definition List Level 1"/>
    <w:basedOn w:val="TLTDefinitionList"/>
    <w:pPr>
      <w:numPr>
        <w:ilvl w:val="1"/>
      </w:numPr>
    </w:pPr>
  </w:style>
  <w:style w:type="numbering" w:customStyle="1" w:styleId="Definitions">
    <w:name w:val="Definitions"/>
    <w:uiPriority w:val="99"/>
    <w:pPr>
      <w:numPr>
        <w:numId w:val="12"/>
      </w:numPr>
    </w:pPr>
  </w:style>
  <w:style w:type="paragraph" w:styleId="Header">
    <w:name w:val="header"/>
    <w:basedOn w:val="Normal"/>
    <w:link w:val="HeaderChar"/>
    <w:uiPriority w:val="99"/>
    <w:pPr>
      <w:tabs>
        <w:tab w:val="center" w:pos="4150"/>
        <w:tab w:val="right" w:pos="8307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150"/>
        <w:tab w:val="right" w:pos="8307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character" w:styleId="Hyperlink">
    <w:name w:val="Hyperlink"/>
    <w:basedOn w:val="DefaultParagraphFont"/>
    <w:uiPriority w:val="99"/>
    <w:unhideWhenUsed/>
    <w:rPr>
      <w:color w:val="FD6631" w:themeColor="hyperlink"/>
      <w:u w:val="single"/>
    </w:rPr>
  </w:style>
  <w:style w:type="character" w:customStyle="1" w:styleId="TLTBodyTextChar">
    <w:name w:val="TLT Body Text Char"/>
    <w:link w:val="TLTBodyText"/>
    <w:locked/>
    <w:rPr>
      <w:rFonts w:eastAsia="Times New Roman" w:cs="Times New Roman"/>
      <w:szCs w:val="24"/>
      <w:lang w:eastAsia="en-GB"/>
    </w:r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A4815"/>
    <w:rPr>
      <w:rFonts w:eastAsia="STZhongsong" w:cs="Times New Roman"/>
      <w:b/>
      <w:caps/>
      <w:sz w:val="22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A4815"/>
    <w:rPr>
      <w:rFonts w:eastAsia="STZhongsong" w:cs="Times New Roman"/>
      <w:sz w:val="22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A4815"/>
    <w:rPr>
      <w:rFonts w:eastAsia="STZhongsong" w:cs="Times New Roman"/>
      <w:sz w:val="22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A4815"/>
    <w:rPr>
      <w:rFonts w:eastAsia="STZhongsong" w:cs="Times New Roman"/>
      <w:sz w:val="22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A4815"/>
    <w:rPr>
      <w:rFonts w:eastAsia="STZhongsong" w:cs="Times New Roman"/>
      <w:sz w:val="22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A4815"/>
    <w:rPr>
      <w:rFonts w:eastAsia="STZhongsong" w:cs="Times New Roman"/>
      <w:sz w:val="22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A4815"/>
    <w:rPr>
      <w:rFonts w:eastAsia="STZhongsong" w:cs="Times New Roman"/>
      <w:sz w:val="22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5A4815"/>
    <w:rPr>
      <w:rFonts w:eastAsia="STZhongsong" w:cs="Times New Roman"/>
      <w:sz w:val="22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A4815"/>
    <w:rPr>
      <w:rFonts w:eastAsia="STZhongsong" w:cs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lt.dotx" TargetMode="External"/></Relationships>
</file>

<file path=word/theme/theme1.xml><?xml version="1.0" encoding="utf-8"?>
<a:theme xmlns:a="http://schemas.openxmlformats.org/drawingml/2006/main" name="TLT">
  <a:themeElements>
    <a:clrScheme name="TLT">
      <a:dk1>
        <a:srgbClr val="264152"/>
      </a:dk1>
      <a:lt1>
        <a:sysClr val="window" lastClr="FFFFFF"/>
      </a:lt1>
      <a:dk2>
        <a:srgbClr val="452325"/>
      </a:dk2>
      <a:lt2>
        <a:srgbClr val="EEECE1"/>
      </a:lt2>
      <a:accent1>
        <a:srgbClr val="97233F"/>
      </a:accent1>
      <a:accent2>
        <a:srgbClr val="FD6631"/>
      </a:accent2>
      <a:accent3>
        <a:srgbClr val="5BBBB7"/>
      </a:accent3>
      <a:accent4>
        <a:srgbClr val="007470"/>
      </a:accent4>
      <a:accent5>
        <a:srgbClr val="639ABD"/>
      </a:accent5>
      <a:accent6>
        <a:srgbClr val="452325"/>
      </a:accent6>
      <a:hlink>
        <a:srgbClr val="FD6631"/>
      </a:hlink>
      <a:folHlink>
        <a:srgbClr val="FD663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sential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1FB32-D7DA-4E14-A682-E323A643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tlt</Template>
  <TotalTime>0</TotalTime>
  <Pages>3</Pages>
  <Words>1048</Words>
  <Characters>5978</Characters>
  <Application>Microsoft Office Word</Application>
  <DocSecurity>4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 </vt:lpstr>
    </vt:vector>
  </TitlesOfParts>
  <Company>
  </Company>
  <LinksUpToDate>false</LinksUpToDate>
  <CharactersWithSpaces>7012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Simon Goss</dc:creator>
  <dc:description>
  </dc:description>
  <cp:lastModifiedBy>Singh Kuldip DWP ESTATES</cp:lastModifiedBy>
  <cp:revision>2</cp:revision>
  <cp:lastPrinted>2017-10-16T14:17:00Z</cp:lastPrinted>
  <dcterms:created xsi:type="dcterms:W3CDTF">2018-08-23T09:28:00Z</dcterms:created>
  <dcterms:modified xsi:type="dcterms:W3CDTF">2018-08-23T09:28:00Z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41744988.2</vt:lpwstr>
  </property>
  <property fmtid="{D5CDD505-2E9C-101B-9397-08002B2CF9AE}" pid="3" name="HotDocsTemplate">
    <vt:bool>true</vt:bool>
  </property>
</Properties>
</file>